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eastAsia="Tahoma" w:cs="Liberation Sans Narrow"/>
          <w:b/>
          <w:b/>
          <w:bCs/>
          <w:color w:val="000000"/>
          <w:sz w:val="24"/>
          <w:szCs w:val="24"/>
          <w:highlight w:val="yellow"/>
          <w:u w:val="single"/>
        </w:rPr>
      </w:pPr>
      <w:r>
        <w:rPr>
          <w:rFonts w:eastAsia="Tahoma" w:cs="Liberation Sans Narrow"/>
          <w:b/>
          <w:bCs/>
          <w:color w:val="000000"/>
          <w:sz w:val="24"/>
          <w:szCs w:val="24"/>
          <w:highlight w:val="yellow"/>
          <w:u w:val="single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1612900</wp:posOffset>
            </wp:positionH>
            <wp:positionV relativeFrom="paragraph">
              <wp:posOffset>-437515</wp:posOffset>
            </wp:positionV>
            <wp:extent cx="2898140" cy="759460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62" t="-770" r="-262" b="-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eastAsia="Tahoma" w:cs="Liberation Sans Narrow"/>
          <w:b/>
          <w:b/>
          <w:bCs/>
          <w:color w:val="000000"/>
          <w:sz w:val="24"/>
          <w:szCs w:val="24"/>
          <w:highlight w:val="yellow"/>
          <w:u w:val="single"/>
        </w:rPr>
      </w:pPr>
      <w:r>
        <w:rPr>
          <w:rFonts w:eastAsia="Tahoma" w:cs="Liberation Sans Narrow"/>
          <w:b/>
          <w:bCs/>
          <w:color w:val="000000"/>
          <w:sz w:val="24"/>
          <w:szCs w:val="24"/>
          <w:highlight w:val="yellow"/>
          <w:u w:val="single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ascii="Liberation Sans Narrow" w:hAnsi="Liberation Sans Narrow"/>
        </w:rPr>
      </w:pPr>
      <w:r>
        <w:rPr>
          <w:rFonts w:eastAsia="Tahoma" w:cs="Liberation Sans Narrow" w:ascii="Liberation Sans Narrow" w:hAnsi="Liberation Sans Narrow"/>
          <w:b/>
          <w:bCs/>
          <w:color w:val="000000"/>
          <w:sz w:val="24"/>
          <w:szCs w:val="24"/>
          <w:highlight w:val="yellow"/>
          <w:u w:val="single"/>
        </w:rPr>
        <w:t>MINUTA</w:t>
      </w:r>
      <w:r>
        <w:rPr>
          <w:rFonts w:eastAsia="Tahoma" w:cs="Liberation Sans Narrow" w:ascii="Liberation Sans Narrow" w:hAnsi="Liberation Sans Narrow"/>
          <w:b/>
          <w:bCs/>
          <w:color w:val="000000"/>
          <w:sz w:val="24"/>
          <w:szCs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/>
      </w:pPr>
      <w:r>
        <w:rPr>
          <w:rFonts w:eastAsia="Tahoma" w:cs="Liberation Sans Narrow" w:ascii="Liberation Sans Narrow" w:hAnsi="Liberation Sans Narrow"/>
          <w:b/>
          <w:bCs/>
          <w:color w:val="000000"/>
          <w:sz w:val="24"/>
          <w:szCs w:val="24"/>
          <w:u w:val="single"/>
        </w:rPr>
        <w:t>CONTRATO Nº _____/2026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ascii="Liberation Sans Narrow" w:hAnsi="Liberation Sans Narrow" w:eastAsia="Tahoma" w:cs="Liberation Sans Narrow"/>
          <w:b/>
          <w:b/>
          <w:bCs/>
          <w:color w:val="000000"/>
          <w:sz w:val="12"/>
          <w:szCs w:val="12"/>
          <w:u w:val="single"/>
        </w:rPr>
      </w:pPr>
      <w:r>
        <w:rPr>
          <w:rFonts w:eastAsia="Tahoma" w:cs="Liberation Sans Narrow" w:ascii="Liberation Sans Narrow" w:hAnsi="Liberation Sans Narrow"/>
          <w:b/>
          <w:bCs/>
          <w:color w:val="000000"/>
          <w:sz w:val="12"/>
          <w:szCs w:val="12"/>
          <w:u w:val="single"/>
        </w:rPr>
      </w:r>
    </w:p>
    <w:p>
      <w:pPr>
        <w:pStyle w:val="Corpodotexto"/>
        <w:jc w:val="both"/>
        <w:rPr>
          <w:rFonts w:ascii="Liberation Sans Narrow" w:hAnsi="Liberation Sans Narrow"/>
          <w:sz w:val="22"/>
          <w:szCs w:val="22"/>
        </w:rPr>
      </w:pPr>
      <w:r>
        <w:rPr>
          <w:rFonts w:ascii="Liberation Sans Narrow" w:hAnsi="Liberation Sans Narrow"/>
          <w:sz w:val="22"/>
          <w:szCs w:val="22"/>
        </w:rPr>
        <w:t xml:space="preserve">Este Contrato se vincula ao procedimento de Pregão Eletrônico nº _____/2026, instaurado face o processo administrativo nº 006/2026, do Instituto de Previdência dos Servidores Públicos do Município de Quissamã, e rege-se pela Lei Federal nº 14.133/2021, e suas alterações, além das demais normas legais pertinentes aos termos, condições e cláusulas contratuais abaixo transcritas. Os casos omissos serão resolvidos mediante acordo mútuo das partes, demais disposições legais aplicáveis e a Teoria Geral dos Contratos, em aditamento, se necessário: </w:t>
      </w:r>
    </w:p>
    <w:p>
      <w:pPr>
        <w:pStyle w:val="Corpodotexto"/>
        <w:jc w:val="both"/>
        <w:rPr>
          <w:rFonts w:ascii="Liberation Sans Narrow" w:hAnsi="Liberation Sans Narrow" w:eastAsia="Tahoma" w:cs="Liberation Sans Narrow"/>
          <w:color w:val="000000"/>
          <w:sz w:val="22"/>
          <w:szCs w:val="22"/>
        </w:rPr>
      </w:pPr>
      <w:r>
        <w:rPr>
          <w:rFonts w:eastAsia="Tahoma" w:cs="Liberation Sans Narrow" w:ascii="Liberation Sans Narrow" w:hAnsi="Liberation Sans Narrow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bCs/>
          <w:color w:val="000000"/>
          <w:sz w:val="22"/>
          <w:szCs w:val="22"/>
        </w:rPr>
        <w:t>CLÁUSULA PRIMEIRA – PARTES</w:t>
      </w:r>
    </w:p>
    <w:p>
      <w:pPr>
        <w:pStyle w:val="Corpodotexto"/>
        <w:jc w:val="both"/>
        <w:rPr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bCs/>
          <w:color w:val="000000"/>
          <w:sz w:val="22"/>
          <w:szCs w:val="22"/>
        </w:rPr>
        <w:t>1.1</w:t>
      </w:r>
      <w:r>
        <w:rPr>
          <w:rFonts w:eastAsia="Tahoma" w:cs="Liberation Sans Narrow" w:ascii="Liberation Sans Narrow" w:hAnsi="Liberation Sans Narrow"/>
          <w:color w:val="000000"/>
          <w:sz w:val="22"/>
          <w:szCs w:val="22"/>
        </w:rPr>
        <w:t xml:space="preserve"> – </w:t>
      </w:r>
      <w:r>
        <w:rPr>
          <w:rFonts w:eastAsia="Tahoma" w:cs="Liberation Sans Narrow" w:ascii="Liberation Sans Narrow" w:hAnsi="Liberation Sans Narrow"/>
          <w:b/>
          <w:bCs/>
          <w:color w:val="000000"/>
          <w:sz w:val="22"/>
          <w:szCs w:val="22"/>
        </w:rPr>
        <w:t>O Instituto dos Servidores Públicos do Município de Quissamã – IPMQ</w:t>
      </w:r>
      <w:r>
        <w:rPr>
          <w:rFonts w:eastAsia="Tahoma" w:cs="Liberation Sans Narrow" w:ascii="Liberation Sans Narrow" w:hAnsi="Liberation Sans Narrow"/>
          <w:color w:val="000000"/>
          <w:sz w:val="22"/>
          <w:szCs w:val="22"/>
        </w:rPr>
        <w:t>, autarquia municipal, pessoa jurídica de direito público interno, com sede à Rua Barão de Vila Franca, 413 – Centro, nesta cidade, inscrita no CNPJ sob o nº 35.306.813/0001-99, representada neste ato pelo Presidente do Instituto</w:t>
      </w:r>
      <w:r>
        <w:rPr>
          <w:rFonts w:eastAsia="Tahoma" w:cs="Liberation Sans Narrow" w:ascii="Liberation Sans Narrow" w:hAnsi="Liberation Sans Narrow"/>
          <w:color w:val="000000"/>
          <w:sz w:val="22"/>
          <w:szCs w:val="22"/>
          <w:highlight w:val="white"/>
        </w:rPr>
        <w:t>, Sr. Fabiano Barreto Gomes, inscrito no CPF sob o nº 044.951.037-92,</w:t>
      </w:r>
      <w:r>
        <w:rPr>
          <w:rFonts w:eastAsia="Tahoma" w:cs="Liberation Sans Narrow" w:ascii="Liberation Sans Narrow" w:hAnsi="Liberation Sans Narrow"/>
          <w:color w:val="000000"/>
          <w:sz w:val="22"/>
          <w:szCs w:val="22"/>
        </w:rPr>
        <w:t xml:space="preserve"> doravante denominado </w:t>
      </w:r>
      <w:r>
        <w:rPr>
          <w:rFonts w:eastAsia="Tahoma" w:cs="Liberation Sans Narrow" w:ascii="Liberation Sans Narrow" w:hAnsi="Liberation Sans Narrow"/>
          <w:b/>
          <w:bCs/>
          <w:color w:val="000000"/>
          <w:sz w:val="22"/>
          <w:szCs w:val="22"/>
        </w:rPr>
        <w:t>CONTRATANTE</w:t>
      </w:r>
      <w:r>
        <w:rPr>
          <w:rFonts w:eastAsia="Tahoma" w:cs="Liberation Sans Narrow" w:ascii="Liberation Sans Narrow" w:hAnsi="Liberation Sans Narrow"/>
          <w:color w:val="000000"/>
          <w:sz w:val="22"/>
          <w:szCs w:val="22"/>
        </w:rPr>
        <w:t>;</w:t>
      </w:r>
    </w:p>
    <w:p>
      <w:pPr>
        <w:pStyle w:val="Corpodotexto"/>
        <w:jc w:val="both"/>
        <w:rPr>
          <w:rFonts w:ascii="Liberation Sans Narrow" w:hAnsi="Liberation Sans Narrow" w:cs="Liberation Sans Narrow"/>
          <w:sz w:val="22"/>
          <w:szCs w:val="22"/>
        </w:rPr>
      </w:pPr>
      <w:r>
        <w:rPr>
          <w:rFonts w:cs="Liberation Sans Narrow" w:ascii="Liberation Sans Narrow" w:hAnsi="Liberation Sans Narrow"/>
          <w:sz w:val="22"/>
          <w:szCs w:val="22"/>
        </w:rPr>
      </w:r>
    </w:p>
    <w:p>
      <w:pPr>
        <w:pStyle w:val="Corpodotexto"/>
        <w:jc w:val="both"/>
        <w:rPr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bCs/>
          <w:color w:val="000000"/>
          <w:sz w:val="22"/>
          <w:szCs w:val="22"/>
        </w:rPr>
        <w:t>1.2 – ________________________________________________</w:t>
      </w:r>
      <w:r>
        <w:rPr>
          <w:rFonts w:eastAsia="Tahoma" w:cs="Liberation Sans Narrow" w:ascii="Liberation Sans Narrow" w:hAnsi="Liberation Sans Narrow"/>
          <w:color w:val="000000"/>
          <w:sz w:val="22"/>
          <w:szCs w:val="22"/>
        </w:rPr>
        <w:t xml:space="preserve">, com sede na ____________________________________________________________, CEP: _______________, e inscrita no CNPJ sob o nº _______________________________, representado por _____________________________, portador da carteira de identidade nº _____________________, cadastrado no CPF sob o nº __________________________, doravante denomina </w:t>
      </w:r>
      <w:r>
        <w:rPr>
          <w:rFonts w:eastAsia="Tahoma" w:cs="Liberation Sans Narrow" w:ascii="Liberation Sans Narrow" w:hAnsi="Liberation Sans Narrow"/>
          <w:b/>
          <w:color w:val="000000"/>
          <w:sz w:val="22"/>
          <w:szCs w:val="22"/>
        </w:rPr>
        <w:t>CONTRATADA.</w:t>
      </w:r>
    </w:p>
    <w:p>
      <w:pPr>
        <w:pStyle w:val="Corpodotexto"/>
        <w:jc w:val="both"/>
        <w:rPr>
          <w:rFonts w:ascii="Liberation Sans Narrow" w:hAnsi="Liberation Sans Narrow" w:eastAsia="Tahoma" w:cs="Liberation Sans Narrow"/>
          <w:b/>
          <w:b/>
          <w:color w:val="000000"/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CLÁUSULA SEGUNDA – OBJETO</w:t>
      </w:r>
    </w:p>
    <w:p>
      <w:pPr>
        <w:pStyle w:val="Corpodotexto"/>
        <w:jc w:val="both"/>
        <w:rPr/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2.1 – 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O objeto do presente instrumento é a contratação </w:t>
      </w:r>
      <w:r>
        <w:rPr>
          <w:rFonts w:cs="Arial" w:ascii="Liberation Sans Narrow" w:hAnsi="Liberation Sans Narrow"/>
          <w:b w:val="false"/>
          <w:bCs w:val="false"/>
          <w:color w:val="000000"/>
          <w:sz w:val="22"/>
          <w:szCs w:val="22"/>
          <w:lang w:val="pt-BR"/>
        </w:rPr>
        <w:t xml:space="preserve">de empresa especializada em </w:t>
      </w:r>
      <w:r>
        <w:rPr>
          <w:rFonts w:cs="Arial" w:ascii="Liberation Sans Narrow" w:hAnsi="Liberation Sans Narrow"/>
          <w:b/>
          <w:bCs/>
          <w:color w:val="000000"/>
          <w:sz w:val="22"/>
          <w:szCs w:val="22"/>
          <w:lang w:val="pt-BR"/>
        </w:rPr>
        <w:t>consultoria e assessoria em investimentos</w:t>
      </w:r>
      <w:r>
        <w:rPr>
          <w:rFonts w:cs="Arial" w:ascii="Liberation Sans Narrow" w:hAnsi="Liberation Sans Narrow"/>
          <w:b w:val="false"/>
          <w:bCs w:val="false"/>
          <w:color w:val="000000"/>
          <w:sz w:val="22"/>
          <w:szCs w:val="22"/>
          <w:lang w:val="pt-BR"/>
        </w:rPr>
        <w:t xml:space="preserve"> para Regimes Próprios de Previdência Social – RPPS, pelo período de 12 (doze) meses, incluindo a elaboração anual do </w:t>
      </w:r>
      <w:r>
        <w:rPr>
          <w:rFonts w:cs="Arial" w:ascii="Liberation Sans Narrow" w:hAnsi="Liberation Sans Narrow"/>
          <w:b/>
          <w:bCs/>
          <w:color w:val="000000"/>
          <w:sz w:val="22"/>
          <w:szCs w:val="22"/>
          <w:lang w:val="pt-BR"/>
        </w:rPr>
        <w:t>estudo de Asset Liability Management – ALM</w:t>
      </w:r>
      <w:r>
        <w:rPr>
          <w:rFonts w:cs="Arial" w:ascii="Liberation Sans Narrow" w:hAnsi="Liberation Sans Narrow"/>
          <w:b w:val="false"/>
          <w:bCs w:val="false"/>
          <w:color w:val="000000"/>
          <w:sz w:val="22"/>
          <w:szCs w:val="22"/>
          <w:lang w:val="pt-BR"/>
        </w:rPr>
        <w:t>, destinada a atender às necessidades do Instituto de Previdência dos Servidores Públicos do Município de Quissamã – IPMQ,</w:t>
      </w:r>
      <w:r>
        <w:rPr>
          <w:rStyle w:val="WWFontepargpadro1"/>
          <w:rFonts w:eastAsia="Times New Roman" w:cs="Arial" w:ascii="Liberation Sans Narrow" w:hAnsi="Liberation Sans Narrow"/>
          <w:b w:val="false"/>
          <w:bCs w:val="false"/>
          <w:color w:val="000000"/>
          <w:sz w:val="22"/>
          <w:szCs w:val="22"/>
          <w:lang w:val="pt-BR" w:eastAsia="zh-CN"/>
        </w:rPr>
        <w:t xml:space="preserve"> conforme as especificações técnicas e características </w:t>
      </w:r>
      <w:r>
        <w:rPr>
          <w:rFonts w:eastAsia="Times New Roman" w:cs="Arial" w:ascii="Liberation Sans Narrow" w:hAnsi="Liberation Sans Narrow"/>
          <w:color w:val="000000"/>
          <w:kern w:val="2"/>
          <w:sz w:val="22"/>
          <w:szCs w:val="22"/>
        </w:rPr>
        <w:t>técnicas descritas neste Contrato e Termo de Referência</w:t>
      </w:r>
      <w:r>
        <w:rPr>
          <w:rFonts w:cs="Arial" w:ascii="Liberation Sans Narrow" w:hAnsi="Liberation Sans Narrow"/>
          <w:color w:val="000000"/>
          <w:sz w:val="22"/>
          <w:szCs w:val="22"/>
        </w:rPr>
        <w:t>.</w:t>
      </w:r>
    </w:p>
    <w:p>
      <w:pPr>
        <w:pStyle w:val="Corpodotexto"/>
        <w:jc w:val="both"/>
        <w:rPr>
          <w:rFonts w:ascii="Liberation Sans Narrow" w:hAnsi="Liberation Sans Narrow" w:cs="Arial"/>
          <w:color w:val="000000"/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</w:r>
    </w:p>
    <w:tbl>
      <w:tblPr>
        <w:tblW w:w="8505" w:type="dxa"/>
        <w:jc w:val="left"/>
        <w:tblInd w:w="136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75"/>
        <w:gridCol w:w="2675"/>
        <w:gridCol w:w="955"/>
        <w:gridCol w:w="1816"/>
        <w:gridCol w:w="853"/>
        <w:gridCol w:w="1530"/>
      </w:tblGrid>
      <w:tr>
        <w:trPr/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b/>
                <w:bCs/>
                <w:sz w:val="22"/>
                <w:szCs w:val="22"/>
              </w:rPr>
              <w:t>CATSER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b/>
                <w:bCs/>
                <w:sz w:val="22"/>
                <w:szCs w:val="22"/>
              </w:rPr>
              <w:t>UNIDADE DE FORNECIMENTO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b/>
                <w:bCs/>
                <w:sz w:val="22"/>
                <w:szCs w:val="22"/>
              </w:rPr>
              <w:t>VALOR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01</w:t>
            </w:r>
          </w:p>
        </w:tc>
        <w:tc>
          <w:tcPr>
            <w:tcW w:w="2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sz w:val="22"/>
                <w:szCs w:val="22"/>
              </w:rPr>
              <w:t>CONSULTORIA E ASSESSORIA DE INVESTIMENTOS AO IPMQ.</w:t>
            </w:r>
          </w:p>
        </w:tc>
        <w:tc>
          <w:tcPr>
            <w:tcW w:w="9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b w:val="false"/>
                <w:bCs w:val="false"/>
                <w:sz w:val="22"/>
                <w:szCs w:val="22"/>
                <w:lang w:val="pt-BR"/>
              </w:rPr>
              <w:t>42991</w:t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MÊS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R$ 12.000,00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02</w:t>
            </w:r>
          </w:p>
        </w:tc>
        <w:tc>
          <w:tcPr>
            <w:tcW w:w="2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ascii="Liberation Sans Narrow" w:hAnsi="Liberation Sans Narrow"/>
                <w:sz w:val="22"/>
                <w:szCs w:val="22"/>
              </w:rPr>
              <w:t>ESTUDO ALM</w:t>
            </w:r>
          </w:p>
        </w:tc>
        <w:tc>
          <w:tcPr>
            <w:tcW w:w="9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b w:val="false"/>
                <w:bCs w:val="false"/>
                <w:sz w:val="22"/>
                <w:szCs w:val="22"/>
                <w:lang w:val="pt-BR"/>
              </w:rPr>
              <w:t>42991</w:t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ANUAL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rFonts w:eastAsia="Arial" w:cs="Arial" w:ascii="Liberation Sans Narrow" w:hAnsi="Liberation Sans Narrow"/>
                <w:sz w:val="22"/>
                <w:szCs w:val="22"/>
              </w:rPr>
              <w:t>R$ 10.200,00</w:t>
            </w:r>
          </w:p>
        </w:tc>
      </w:tr>
    </w:tbl>
    <w:p>
      <w:pPr>
        <w:pStyle w:val="Normal"/>
        <w:jc w:val="both"/>
        <w:rPr>
          <w:rFonts w:ascii="Liberation Sans Narrow" w:hAnsi="Liberation Sans Narrow" w:cs="Arial"/>
          <w:color w:val="FF0000"/>
          <w:sz w:val="22"/>
          <w:szCs w:val="22"/>
        </w:rPr>
      </w:pPr>
      <w:r>
        <w:rPr>
          <w:rFonts w:cs="Arial" w:ascii="Liberation Sans Narrow" w:hAnsi="Liberation Sans Narrow"/>
          <w:color w:val="FF0000"/>
          <w:sz w:val="22"/>
          <w:szCs w:val="22"/>
        </w:rPr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2.2</w:t>
      </w:r>
      <w:r>
        <w:rPr>
          <w:rFonts w:cs="Arial" w:ascii="Liberation Sans Narrow" w:hAnsi="Liberation Sans Narrow"/>
          <w:sz w:val="22"/>
          <w:szCs w:val="22"/>
        </w:rPr>
        <w:t xml:space="preserve"> – São anexos a este instrumento e vinculam esta contratação, independentemente de transcrição: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2.2.1. DFD – Documento de Formalização de Demanda;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2.2.2. ETP – Estudo Técnico Preliminar;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2.2.3. TR – Termo de Referência que embasou a contratação; e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2.2.4. Mapa de Gerenciamento de Risco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2.2.5. Edital de Licitação.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/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CLÁUSULA TERCEIRA – VIGÊNCIA DO CONTRATO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3.1.</w:t>
      </w:r>
      <w:r>
        <w:rPr>
          <w:rFonts w:cs="Arial" w:ascii="Liberation Sans Narrow" w:hAnsi="Liberation Sans Narrow"/>
          <w:sz w:val="22"/>
          <w:szCs w:val="22"/>
        </w:rPr>
        <w:t xml:space="preserve"> </w:t>
      </w:r>
      <w:r>
        <w:rPr>
          <w:rFonts w:cs="Arial" w:ascii="Liberation Sans Narrow" w:hAnsi="Liberation Sans Narrow"/>
          <w:bCs/>
          <w:i/>
          <w:sz w:val="22"/>
          <w:szCs w:val="22"/>
        </w:rPr>
        <w:t>O prazo de vigência da contratação é de 12 meses contados da assinatura e divulgação no PNCP, prorrogável por iguais períodos, na forma dos artigos 105 e 107 da Lei Federal n° 14.133/2021.</w:t>
      </w:r>
    </w:p>
    <w:p>
      <w:pPr>
        <w:pStyle w:val="Normal"/>
        <w:spacing w:lineRule="auto" w:line="276" w:before="120" w:after="120"/>
        <w:ind w:hanging="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/>
          <w:sz w:val="22"/>
          <w:szCs w:val="22"/>
        </w:rPr>
        <w:t>3.1.1</w:t>
      </w:r>
      <w:r>
        <w:rPr>
          <w:rFonts w:cs="Arial" w:ascii="Liberation Sans Narrow" w:hAnsi="Liberation Sans Narrow"/>
          <w:bCs/>
          <w:i/>
          <w:sz w:val="22"/>
          <w:szCs w:val="22"/>
        </w:rPr>
        <w:t xml:space="preserve">. Prorrogação de que trata este item é condicionada ao ateste, pela autoridade competente, de </w:t>
      </w:r>
      <w:r>
        <w:rPr>
          <w:rFonts w:cs="Arial" w:ascii="Liberation Sans Narrow" w:hAnsi="Liberation Sans Narrow"/>
          <w:i/>
          <w:sz w:val="22"/>
          <w:szCs w:val="22"/>
        </w:rPr>
        <w:t>que as condições e os preços permanecem vantajosos para a Administração, permitida a negociação com o contratado, que poderão ser reajustados utilizando-se a variação do Índice Nacional de Preços ao Consumidor Amplo (IPCA), instituído pelo Instituto Brasileiro de Geografia e Estatística – IBGE.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bCs/>
          <w:i/>
          <w:i/>
          <w:color w:val="FF0000"/>
          <w:sz w:val="22"/>
          <w:szCs w:val="22"/>
        </w:rPr>
      </w:pPr>
      <w:r>
        <w:rPr>
          <w:rFonts w:cs="Arial" w:ascii="Liberation Sans Narrow" w:hAnsi="Liberation Sans Narrow"/>
          <w:bCs/>
          <w:i/>
          <w:color w:val="FF0000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CLÁUSULA QUARTA – MODELOS DE EXECUÇÃO E GESTÃO CONTRATUAL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 (art. 92, IV, VII e XVIII)</w:t>
      </w:r>
    </w:p>
    <w:p>
      <w:pPr>
        <w:pStyle w:val="Corpodotexto"/>
        <w:jc w:val="both"/>
        <w:rPr>
          <w:color w:val="000000"/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4.1.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 O regime de execução contratual, o modelo de gestão, assim como os prazos e condições de conclusão, entrega, observação e recebimento definitivo constam no Termo de Referência, anexo a este Contrato.</w:t>
      </w:r>
    </w:p>
    <w:p>
      <w:pPr>
        <w:pStyle w:val="Corpodotexto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4.2. </w:t>
      </w: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>Executado o objeto, na forma estipulada no Termo de Referência, será recebido de forma sumária, no ato de entrega a cada parcela ou parcela única do objeto, pela fiscal Jéssica Abreu Barreto de Souza – Mat. 150 e o recebimento definitivo dar-se-á pelo gestor do contrato, em até 60 (sessenta) dias do recebimento provisório da última parcela ou parcela única, quando verificado o cumprimento das exigências contratuais pelo Gestor Márcio Pavuna Azevedo – Mat. 170.</w:t>
      </w:r>
    </w:p>
    <w:p>
      <w:pPr>
        <w:pStyle w:val="Corpodotexto"/>
        <w:jc w:val="both"/>
        <w:rPr>
          <w:color w:val="000000"/>
          <w:sz w:val="22"/>
          <w:szCs w:val="22"/>
        </w:rPr>
      </w:pPr>
      <w:r>
        <w:rPr>
          <w:rFonts w:ascii="Liberation Sans Narrow" w:hAnsi="Liberation Sans Narrow"/>
          <w:b/>
          <w:bCs/>
          <w:color w:val="000000"/>
          <w:sz w:val="22"/>
          <w:szCs w:val="22"/>
        </w:rPr>
        <w:t>4.3.</w:t>
      </w: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 xml:space="preserve"> Se constatar que o objeto foi executado em desacordo com o especificado ou incompleto, a fiscalização notificará por escrito a contratada, interrompendo-se os prazos de recebimento e ficando suspenso o pagamento até que sanada a irregularidade.</w:t>
      </w:r>
    </w:p>
    <w:p>
      <w:pPr>
        <w:pStyle w:val="Corpodotexto"/>
        <w:jc w:val="both"/>
        <w:rPr>
          <w:color w:val="000000"/>
          <w:sz w:val="22"/>
          <w:szCs w:val="22"/>
        </w:rPr>
      </w:pPr>
      <w:r>
        <w:rPr>
          <w:rFonts w:ascii="Liberation Sans Narrow" w:hAnsi="Liberation Sans Narrow"/>
          <w:b/>
          <w:bCs/>
          <w:color w:val="000000"/>
          <w:sz w:val="22"/>
          <w:szCs w:val="22"/>
        </w:rPr>
        <w:t>4.4.</w:t>
      </w: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 xml:space="preserve"> O aceite/aprovação do objeto pelo contratante não exclui a responsabilidade civil da contratada por vício de qualidade e/ou qualidade ou disparidades com as especificações estabelecidas no Termo de Referência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CLÁUSULA QUINTA – SUBCONTRATAÇÃO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5.1 </w:t>
      </w:r>
      <w:r>
        <w:rPr>
          <w:rFonts w:cs="Arial" w:ascii="Liberation Sans Narrow" w:hAnsi="Liberation Sans Narrow"/>
          <w:color w:val="000000"/>
          <w:sz w:val="22"/>
          <w:szCs w:val="22"/>
        </w:rPr>
        <w:t>– Não será admitida a subcontratação do objeto contratual.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CLÁUSULA SEXTA – PAGAMENTO (art. 92, V e VII)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6.1 – </w:t>
      </w:r>
      <w:r>
        <w:rPr>
          <w:rFonts w:cs="Arial" w:ascii="Liberation Sans Narrow" w:hAnsi="Liberation Sans Narrow"/>
          <w:b/>
          <w:color w:val="000000"/>
          <w:sz w:val="22"/>
          <w:szCs w:val="22"/>
        </w:rPr>
        <w:t>PREÇO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6.1.1 </w:t>
      </w:r>
      <w:r>
        <w:rPr>
          <w:rFonts w:cs="Arial" w:ascii="Liberation Sans Narrow" w:hAnsi="Liberation Sans Narrow"/>
          <w:color w:val="000000"/>
          <w:sz w:val="22"/>
          <w:szCs w:val="22"/>
        </w:rPr>
        <w:t>– O valor mensal deste contrato é de R$ .......... (.....), correspondendo à proposta da ofertada pela contratada, e conforme quantidades e especificações indicadas no Termo de Referência, perfazendo o valor anual total de R$ ................. (....).</w:t>
      </w:r>
    </w:p>
    <w:p>
      <w:pPr>
        <w:pStyle w:val="ListParagraph"/>
        <w:spacing w:lineRule="auto" w:line="276" w:before="120" w:after="120"/>
        <w:ind w:left="426" w:hanging="0"/>
        <w:contextualSpacing/>
        <w:jc w:val="both"/>
        <w:rPr>
          <w:rFonts w:ascii="Liberation Sans Narrow" w:hAnsi="Liberation Sans Narrow" w:cs="Arial"/>
          <w:b/>
          <w:b/>
          <w:bCs/>
          <w:i/>
          <w:i/>
          <w:color w:val="FF0000"/>
          <w:sz w:val="22"/>
          <w:szCs w:val="22"/>
          <w:u w:val="single"/>
        </w:rPr>
      </w:pPr>
      <w:r>
        <w:rPr>
          <w:rFonts w:cs="Arial" w:ascii="Liberation Sans Narrow" w:hAnsi="Liberation Sans Narrow"/>
          <w:b/>
          <w:bCs/>
          <w:i/>
          <w:color w:val="FF0000"/>
          <w:sz w:val="22"/>
          <w:szCs w:val="22"/>
          <w:u w:val="single"/>
        </w:rPr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6.1.2 </w:t>
      </w:r>
      <w:r>
        <w:rPr>
          <w:rFonts w:cs="Arial" w:ascii="Liberation Sans Narrow" w:hAnsi="Liberation Sans Narrow"/>
          <w:sz w:val="22"/>
          <w:szCs w:val="22"/>
        </w:rPr>
        <w:t>–</w:t>
      </w:r>
      <w:r>
        <w:rPr>
          <w:rFonts w:cs="Arial" w:ascii="Liberation Sans Narrow" w:hAnsi="Liberation Sans Narrow"/>
          <w:b/>
          <w:bCs/>
          <w:sz w:val="22"/>
          <w:szCs w:val="22"/>
        </w:rPr>
        <w:t xml:space="preserve"> </w:t>
      </w:r>
      <w:r>
        <w:rPr>
          <w:rFonts w:cs="Arial" w:ascii="Liberation Sans Narrow" w:hAnsi="Liberation Sans Narrow"/>
          <w:sz w:val="22"/>
          <w:szCs w:val="22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FF0000"/>
          <w:sz w:val="22"/>
          <w:szCs w:val="22"/>
        </w:rPr>
        <w:tab/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6.2 – FORMA DE PAGAMENTO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color w:val="000000"/>
          <w:sz w:val="22"/>
          <w:szCs w:val="22"/>
        </w:rPr>
        <w:t>6.2.1</w:t>
      </w:r>
      <w:r>
        <w:rPr>
          <w:rFonts w:eastAsia="Arial" w:cs="Liberation Sans Narrow" w:ascii="Liberation Sans Narrow" w:hAnsi="Liberation Sans Narrow"/>
          <w:color w:val="000000"/>
          <w:kern w:val="2"/>
          <w:sz w:val="22"/>
          <w:szCs w:val="22"/>
        </w:rPr>
        <w:t xml:space="preserve"> – </w:t>
      </w:r>
      <w:r>
        <w:rPr>
          <w:rFonts w:eastAsia="Batang;바탕" w:cs="Liberation Sans Narrow" w:ascii="Liberation Sans Narrow" w:hAnsi="Liberation Sans Narrow"/>
          <w:color w:val="000000"/>
          <w:kern w:val="2"/>
          <w:sz w:val="22"/>
          <w:szCs w:val="22"/>
        </w:rPr>
        <w:t>O pagamento será efetuado por</w:t>
      </w:r>
      <w:r>
        <w:rPr>
          <w:rFonts w:eastAsia="Batang;바탕" w:cs="Liberation Sans Narrow" w:ascii="Liberation Sans Narrow" w:hAnsi="Liberation Sans Narrow"/>
          <w:color w:val="000000"/>
          <w:kern w:val="2"/>
          <w:sz w:val="22"/>
          <w:szCs w:val="22"/>
          <w:shd w:fill="FFFFFF" w:val="clear"/>
        </w:rPr>
        <w:t xml:space="preserve"> empenho global,</w:t>
      </w:r>
      <w:r>
        <w:rPr>
          <w:rFonts w:eastAsia="Batang;바탕" w:cs="Liberation Sans Narrow" w:ascii="Liberation Sans Narrow" w:hAnsi="Liberation Sans Narrow"/>
          <w:color w:val="000000"/>
          <w:kern w:val="2"/>
          <w:sz w:val="22"/>
          <w:szCs w:val="22"/>
        </w:rPr>
        <w:t xml:space="preserve"> em parcelas conforme cronograma desembolso em até 30 dias sem juros e consectários, a partir da apresentação de documentos fiscal, que deverão ser aceitos pelo órgão.</w:t>
      </w:r>
    </w:p>
    <w:p>
      <w:pPr>
        <w:pStyle w:val="Normal"/>
        <w:spacing w:lineRule="auto" w:line="276" w:before="120" w:after="120"/>
        <w:jc w:val="both"/>
        <w:rPr>
          <w:color w:val="000000"/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6.2.2 </w:t>
      </w:r>
      <w:r>
        <w:rPr>
          <w:rFonts w:cs="Arial" w:ascii="Liberation Sans Narrow" w:hAnsi="Liberation Sans Narrow"/>
          <w:color w:val="000000"/>
          <w:sz w:val="22"/>
          <w:szCs w:val="22"/>
        </w:rPr>
        <w:t>– Considera-se ocorrido o recebimento da nota fiscal ou fatura quando o órgão contratante atestar a execução do objeto do contrato.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b/>
          <w:b/>
          <w:color w:val="FF0000"/>
          <w:sz w:val="22"/>
          <w:szCs w:val="22"/>
        </w:rPr>
      </w:pPr>
      <w:r>
        <w:rPr>
          <w:rFonts w:cs="Arial" w:ascii="Liberation Sans Narrow" w:hAnsi="Liberation Sans Narrow"/>
          <w:b/>
          <w:color w:val="FF0000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6.3 – CONDIÇÕES DE PAGAMENTO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6.3.1</w:t>
      </w:r>
      <w:r>
        <w:rPr>
          <w:rFonts w:eastAsia="Arial" w:cs="Liberation Sans Narrow" w:ascii="Liberation Sans Narrow" w:hAnsi="Liberation Sans Narrow"/>
          <w:color w:val="000000"/>
          <w:kern w:val="2"/>
          <w:sz w:val="22"/>
          <w:szCs w:val="22"/>
        </w:rPr>
        <w:t xml:space="preserve"> –</w:t>
      </w:r>
      <w:r>
        <w:rPr>
          <w:rFonts w:eastAsia="Arial" w:cs="Liberation Sans Narrow" w:ascii="Liberation Sans Narrow" w:hAnsi="Liberation Sans Narrow"/>
          <w:color w:val="FF0000"/>
          <w:kern w:val="2"/>
          <w:sz w:val="22"/>
          <w:szCs w:val="22"/>
        </w:rPr>
        <w:t xml:space="preserve"> </w:t>
      </w:r>
      <w:r>
        <w:rPr>
          <w:rFonts w:cs="Arial" w:ascii="Liberation Sans Narrow" w:hAnsi="Liberation Sans Narrow"/>
          <w:iCs/>
          <w:sz w:val="22"/>
          <w:szCs w:val="22"/>
        </w:rPr>
        <w:t xml:space="preserve">A emissão da </w:t>
      </w:r>
      <w:r>
        <w:rPr>
          <w:rFonts w:cs="Arial" w:ascii="Liberation Sans Narrow" w:hAnsi="Liberation Sans Narrow"/>
          <w:color w:val="000000" w:themeColor="text1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 w:themeColor="text1"/>
          <w:sz w:val="22"/>
          <w:szCs w:val="22"/>
        </w:rPr>
        <w:t>6.3.2</w:t>
      </w:r>
      <w:r>
        <w:rPr>
          <w:rFonts w:cs="Arial" w:ascii="Liberation Sans Narrow" w:hAnsi="Liberation Sans Narrow"/>
          <w:color w:val="000000" w:themeColor="text1"/>
          <w:sz w:val="22"/>
          <w:szCs w:val="22"/>
        </w:rPr>
        <w:t xml:space="preserve"> – Quando houver glosa parcial do objeto, o contratante deverá comunicar a empresa para que emita a nota fiscal ou fatura com o valor exato dimensionado.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 w:themeColor="text1"/>
          <w:sz w:val="22"/>
          <w:szCs w:val="22"/>
        </w:rPr>
        <w:t>6.3.3</w:t>
      </w:r>
      <w:r>
        <w:rPr>
          <w:rFonts w:cs="Arial" w:ascii="Liberation Sans Narrow" w:hAnsi="Liberation Sans Narrow"/>
          <w:color w:val="000000" w:themeColor="text1"/>
          <w:sz w:val="22"/>
          <w:szCs w:val="22"/>
        </w:rPr>
        <w:t xml:space="preserve"> – O setor competente para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 proceder o pagamento deve verificar se a Nota Fiscal ou Fatura apresentada expressa os elementos necessários e essenciais do documento, tais como: </w:t>
      </w:r>
    </w:p>
    <w:p>
      <w:pPr>
        <w:pStyle w:val="ListParagraph"/>
        <w:numPr>
          <w:ilvl w:val="0"/>
          <w:numId w:val="1"/>
        </w:numPr>
        <w:spacing w:lineRule="auto" w:line="276" w:before="120" w:after="120"/>
        <w:ind w:left="156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  <w:t xml:space="preserve">o prazo de validade; </w:t>
      </w:r>
    </w:p>
    <w:p>
      <w:pPr>
        <w:pStyle w:val="ListParagraph"/>
        <w:numPr>
          <w:ilvl w:val="0"/>
          <w:numId w:val="1"/>
        </w:numPr>
        <w:spacing w:lineRule="auto" w:line="276" w:before="120" w:after="120"/>
        <w:ind w:left="156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  <w:t xml:space="preserve">a data da emissão; </w:t>
      </w:r>
    </w:p>
    <w:p>
      <w:pPr>
        <w:pStyle w:val="ListParagraph"/>
        <w:numPr>
          <w:ilvl w:val="0"/>
          <w:numId w:val="1"/>
        </w:numPr>
        <w:spacing w:lineRule="auto" w:line="276" w:before="120" w:after="120"/>
        <w:ind w:left="156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  <w:t xml:space="preserve">os dados do contrato e do órgão contratante; </w:t>
      </w:r>
    </w:p>
    <w:p>
      <w:pPr>
        <w:pStyle w:val="ListParagraph"/>
        <w:numPr>
          <w:ilvl w:val="0"/>
          <w:numId w:val="1"/>
        </w:numPr>
        <w:spacing w:lineRule="auto" w:line="276" w:before="120" w:after="120"/>
        <w:ind w:left="156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  <w:t xml:space="preserve">o período respectivo de execução do contrato; </w:t>
      </w:r>
    </w:p>
    <w:p>
      <w:pPr>
        <w:pStyle w:val="ListParagraph"/>
        <w:numPr>
          <w:ilvl w:val="0"/>
          <w:numId w:val="1"/>
        </w:numPr>
        <w:spacing w:lineRule="auto" w:line="276" w:before="120" w:after="120"/>
        <w:ind w:left="156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  <w:t xml:space="preserve">o valor a pagar; e </w:t>
      </w:r>
    </w:p>
    <w:p>
      <w:pPr>
        <w:pStyle w:val="ListParagraph"/>
        <w:numPr>
          <w:ilvl w:val="0"/>
          <w:numId w:val="1"/>
        </w:numPr>
        <w:spacing w:lineRule="auto" w:line="276" w:before="120" w:after="120"/>
        <w:ind w:left="156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color w:val="000000"/>
          <w:sz w:val="22"/>
          <w:szCs w:val="22"/>
        </w:rPr>
        <w:t>eventual destaque do valor de retenções tributárias cabíveis.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6.3.4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Havendo erro </w:t>
      </w:r>
      <w:r>
        <w:rPr>
          <w:rFonts w:cs="Arial" w:ascii="Liberation Sans Narrow" w:hAnsi="Liberation Sans Narrow"/>
          <w:color w:val="000000"/>
          <w:sz w:val="22"/>
          <w:szCs w:val="22"/>
        </w:rPr>
        <w:t>na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apresentação da Nota Fiscal/Fatura, ou circunstância que impeça a liquidação da </w:t>
      </w:r>
      <w:r>
        <w:rPr>
          <w:rFonts w:cs="Arial" w:ascii="Liberation Sans Narrow" w:hAnsi="Liberation Sans Narrow"/>
          <w:color w:val="000000" w:themeColor="text1"/>
          <w:sz w:val="22"/>
          <w:szCs w:val="22"/>
        </w:rPr>
        <w:t>despesa</w:t>
      </w:r>
      <w:r>
        <w:rPr>
          <w:rFonts w:cs="Arial" w:ascii="Liberation Sans Narrow" w:hAnsi="Liberation Sans Narrow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6.3.5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A Nota Fiscal ou Fatura deverá ser obrigatoriamente acompanhada da comprovação da regularidade fiscal, constatada por meio de consulta </w:t>
      </w:r>
      <w:r>
        <w:rPr>
          <w:rFonts w:cs="Arial" w:ascii="Liberation Sans Narrow" w:hAnsi="Liberation Sans Narrow"/>
          <w:i/>
          <w:color w:val="000000"/>
          <w:sz w:val="22"/>
          <w:szCs w:val="22"/>
        </w:rPr>
        <w:t>on-line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>
        <w:rPr>
          <w:rFonts w:cs="Arial" w:ascii="Liberation Sans Narrow" w:hAnsi="Liberation Sans Narrow"/>
          <w:sz w:val="22"/>
          <w:szCs w:val="22"/>
        </w:rPr>
        <w:t>14.133/2021.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6.3.6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 xml:space="preserve">Previamente à emissão de nota de empenho e a cada pagamento, o IPMQ deverá realizar consulta ao </w:t>
      </w:r>
      <w:r>
        <w:rPr>
          <w:rFonts w:cs="Arial" w:ascii="Liberation Sans Narrow" w:hAnsi="Liberation Sans Narrow"/>
          <w:color w:val="000000"/>
          <w:sz w:val="22"/>
          <w:szCs w:val="22"/>
        </w:rPr>
        <w:t>SICAF</w:t>
      </w:r>
      <w:r>
        <w:rPr>
          <w:rFonts w:cs="Arial" w:ascii="Liberation Sans Narrow" w:hAnsi="Liberation Sans Narrow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6.3.7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 xml:space="preserve">Constatando-se, junto ao SICAF, a situação de irregularidade do contratado, será providenciada sua </w:t>
      </w:r>
      <w:r>
        <w:rPr>
          <w:rFonts w:cs="Arial" w:ascii="Liberation Sans Narrow" w:hAnsi="Liberation Sans Narrow"/>
          <w:color w:val="000000"/>
          <w:sz w:val="22"/>
          <w:szCs w:val="22"/>
        </w:rPr>
        <w:t>notificação</w:t>
      </w:r>
      <w:r>
        <w:rPr>
          <w:rFonts w:cs="Arial" w:ascii="Liberation Sans Narrow" w:hAnsi="Liberation Sans Narrow"/>
          <w:sz w:val="22"/>
          <w:szCs w:val="22"/>
        </w:rPr>
        <w:t>, por escrito, para que, no prazo de 5 (cinco) dias úteis, regularize sua situação ou, no mesmo prazo, apresente sua defesa. O prazo poderá ser prorrogado uma vez, por igual período, a critério do contratante.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6.3.8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6.3.9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 xml:space="preserve">Persistindo a irregularidade, o contratante deverá adotar as medidas necessárias à rescisão contratual nos autos do processo administrativo correspondente, assegurada ao contratado a ampla defesa. 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6.3.10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>Havendo a efetiva execução do objeto, os pagamentos serão realizados normalmente, até que se decida pela rescisão do contrato, caso o contratado não regularize sua situação junto ao SICAF.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6.3.11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>Quando do pagamento, será efetuada a retenção tributária prevista na legislação aplicável.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6.3.12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>Independentemente do percentual de tributo inserido na planilha, no pagamento serão retidos na fonte os percentuais estabelecidos na legislação vigente.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Cs/>
          <w:sz w:val="22"/>
          <w:szCs w:val="22"/>
        </w:rPr>
        <w:t>6.3.13</w:t>
      </w:r>
      <w:r>
        <w:rPr>
          <w:rFonts w:cs="Arial" w:ascii="Liberation Sans Narrow" w:hAnsi="Liberation Sans Narrow"/>
          <w:iCs/>
          <w:sz w:val="22"/>
          <w:szCs w:val="22"/>
        </w:rPr>
        <w:t xml:space="preserve"> – </w:t>
      </w:r>
      <w:r>
        <w:rPr>
          <w:rFonts w:cs="Arial" w:ascii="Liberation Sans Narrow" w:hAnsi="Liberation Sans Narrow"/>
          <w:sz w:val="22"/>
          <w:szCs w:val="22"/>
        </w:rPr>
        <w:t>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bookmarkStart w:id="0" w:name="__DdeLink__6898_3095597022"/>
      <w:bookmarkEnd w:id="0"/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CLÁUSULA SÉTIMA – REAJUSTE (art. 92, V)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7.1 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– </w:t>
      </w:r>
      <w:r>
        <w:rPr>
          <w:rFonts w:cs="Arial" w:ascii="Liberation Sans Narrow" w:hAnsi="Liberation Sans Narrow"/>
          <w:sz w:val="22"/>
          <w:szCs w:val="22"/>
        </w:rPr>
        <w:t xml:space="preserve">Os preços inicialmente contratados são fixos e irreajustáveis no prazo de um ano contado da data do orçamento estimado, em </w:t>
      </w:r>
      <w:r>
        <w:rPr>
          <w:rFonts w:cs="Arial" w:ascii="Liberation Sans Narrow" w:hAnsi="Liberation Sans Narrow"/>
          <w:color w:val="111111"/>
          <w:sz w:val="22"/>
          <w:szCs w:val="22"/>
        </w:rPr>
        <w:t>21</w:t>
      </w:r>
      <w:r>
        <w:rPr>
          <w:rFonts w:cs="Arial" w:ascii="Liberation Sans Narrow" w:hAnsi="Liberation Sans Narrow"/>
          <w:i/>
          <w:iCs/>
          <w:color w:val="111111"/>
          <w:sz w:val="22"/>
          <w:szCs w:val="22"/>
        </w:rPr>
        <w:t>/01/2026</w:t>
      </w:r>
      <w:r>
        <w:rPr>
          <w:rFonts w:cs="Arial" w:ascii="Liberation Sans Narrow" w:hAnsi="Liberation Sans Narrow"/>
          <w:color w:val="111111"/>
          <w:sz w:val="22"/>
          <w:szCs w:val="22"/>
        </w:rPr>
        <w:t>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7.2</w:t>
      </w:r>
      <w:r>
        <w:rPr>
          <w:rFonts w:cs="Arial" w:ascii="Liberation Sans Narrow" w:hAnsi="Liberation Sans Narrow"/>
          <w:sz w:val="22"/>
          <w:szCs w:val="22"/>
        </w:rPr>
        <w:t xml:space="preserve"> – Após o interregno de um ano, os preços iniciais poderão ser reajustados a pedido do Contratado, mediante a aplicação, pelo Contratante, do índice IPCA.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7.3</w:t>
      </w:r>
      <w:r>
        <w:rPr>
          <w:rFonts w:cs="Arial" w:ascii="Liberation Sans Narrow" w:hAnsi="Liberation Sans Narrow"/>
          <w:sz w:val="22"/>
          <w:szCs w:val="22"/>
        </w:rPr>
        <w:t xml:space="preserve"> – Nos reajustes subsequentes ao primeiro, se houver, o interregno mínimo de um ano será contado a partir dos efeitos financeiros do último reajuste.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7.4 </w:t>
      </w:r>
      <w:r>
        <w:rPr>
          <w:rFonts w:cs="Arial" w:ascii="Liberation Sans Narrow" w:hAnsi="Liberation Sans Narrow"/>
          <w:sz w:val="22"/>
          <w:szCs w:val="22"/>
        </w:rPr>
        <w:t>– 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7.5 </w:t>
      </w:r>
      <w:r>
        <w:rPr>
          <w:rFonts w:cs="Arial" w:ascii="Liberation Sans Narrow" w:hAnsi="Liberation Sans Narrow"/>
          <w:sz w:val="22"/>
          <w:szCs w:val="22"/>
        </w:rPr>
        <w:t>–</w:t>
      </w:r>
      <w:r>
        <w:rPr>
          <w:rFonts w:cs="Arial" w:ascii="Liberation Sans Narrow" w:hAnsi="Liberation Sans Narrow"/>
          <w:b/>
          <w:bCs/>
          <w:sz w:val="22"/>
          <w:szCs w:val="22"/>
        </w:rPr>
        <w:t xml:space="preserve"> </w:t>
      </w:r>
      <w:r>
        <w:rPr>
          <w:rFonts w:cs="Arial" w:ascii="Liberation Sans Narrow" w:hAnsi="Liberation Sans Narrow"/>
          <w:sz w:val="22"/>
          <w:szCs w:val="22"/>
        </w:rPr>
        <w:t>Na ausência de previsão legal quanto ao índice substituto, as partes elegerão novo índice oficial, para reajustamento do preço do valor remanescente, por meio de termo aditivo.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</w:r>
      <w:bookmarkStart w:id="1" w:name="__DdeLink__6898_30955970221"/>
      <w:bookmarkStart w:id="2" w:name="__DdeLink__6898_30955970221"/>
      <w:bookmarkEnd w:id="2"/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bookmarkStart w:id="3" w:name="__DdeLink__2467_3320417993"/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CLÁUSULA OITAVA – OBRIGAÇÕES DA CONTRATANTE (art. 92, X, XI)</w:t>
      </w:r>
      <w:bookmarkEnd w:id="3"/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8.1.</w:t>
      </w:r>
      <w:r>
        <w:rPr>
          <w:rFonts w:cs="Arial" w:ascii="Liberation Sans Narrow" w:hAnsi="Liberation Sans Narrow"/>
          <w:b w:val="false"/>
          <w:bCs w:val="false"/>
          <w:color w:val="000000"/>
          <w:sz w:val="22"/>
          <w:szCs w:val="22"/>
        </w:rPr>
        <w:t xml:space="preserve"> Disponibilizar à CONTRATADA as informações e documentos necessários à adequada execução dos serviços;</w:t>
      </w:r>
    </w:p>
    <w:p>
      <w:pPr>
        <w:pStyle w:val="Normal"/>
        <w:spacing w:lineRule="auto" w:line="276" w:before="0" w:after="120"/>
        <w:ind w:left="0" w:right="0" w:hanging="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/>
          <w:bCs/>
          <w:sz w:val="22"/>
          <w:szCs w:val="22"/>
        </w:rPr>
        <w:t>8.2.</w:t>
      </w:r>
      <w:r>
        <w:rPr>
          <w:rFonts w:ascii="Liberation Sans Narrow" w:hAnsi="Liberation Sans Narrow"/>
          <w:b w:val="false"/>
          <w:bCs w:val="false"/>
          <w:sz w:val="22"/>
          <w:szCs w:val="22"/>
        </w:rPr>
        <w:t xml:space="preserve"> Acompanhar e fiscalizar a execução contratual, por meio de servidor ou comissão designada;</w:t>
      </w:r>
    </w:p>
    <w:p>
      <w:pPr>
        <w:pStyle w:val="Normal"/>
        <w:spacing w:lineRule="auto" w:line="276" w:before="0" w:after="120"/>
        <w:ind w:left="0" w:right="0" w:hanging="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/>
          <w:bCs/>
          <w:sz w:val="22"/>
          <w:szCs w:val="22"/>
        </w:rPr>
        <w:t>8.3.</w:t>
      </w:r>
      <w:r>
        <w:rPr>
          <w:rFonts w:ascii="Liberation Sans Narrow" w:hAnsi="Liberation Sans Narrow"/>
          <w:b w:val="false"/>
          <w:bCs w:val="false"/>
          <w:sz w:val="22"/>
          <w:szCs w:val="22"/>
        </w:rPr>
        <w:t xml:space="preserve"> Comunicar formalmente à CONTRATADA quaisquer irregularidades verificadas na execução dos serviços;</w:t>
      </w:r>
    </w:p>
    <w:p>
      <w:pPr>
        <w:pStyle w:val="Normal"/>
        <w:spacing w:lineRule="auto" w:line="276" w:before="0" w:after="120"/>
        <w:ind w:left="0" w:right="0" w:hanging="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/>
          <w:bCs/>
          <w:sz w:val="22"/>
          <w:szCs w:val="22"/>
        </w:rPr>
        <w:t>8.4</w:t>
      </w:r>
      <w:r>
        <w:rPr>
          <w:rFonts w:eastAsia="Arial" w:cs="Arial" w:ascii="Liberation Sans Narrow" w:hAnsi="Liberation Sans Narrow"/>
          <w:b w:val="false"/>
          <w:bCs w:val="false"/>
          <w:sz w:val="22"/>
          <w:szCs w:val="22"/>
        </w:rPr>
        <w:t>. Efetuar o pagamento à CONTRATADA, conforme valores, prazos e condições estabelecidos no contrato e no cronograma de desembolso;</w:t>
      </w:r>
    </w:p>
    <w:p>
      <w:pPr>
        <w:pStyle w:val="Normal"/>
        <w:spacing w:lineRule="auto" w:line="276" w:before="0" w:after="120"/>
        <w:ind w:left="0" w:right="0" w:hanging="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/>
          <w:bCs/>
          <w:sz w:val="22"/>
          <w:szCs w:val="22"/>
        </w:rPr>
        <w:t>8.5.</w:t>
      </w:r>
      <w:r>
        <w:rPr>
          <w:rFonts w:eastAsia="Arial" w:cs="Arial" w:ascii="Liberation Sans Narrow" w:hAnsi="Liberation Sans Narrow"/>
          <w:b w:val="false"/>
          <w:bCs w:val="false"/>
          <w:sz w:val="22"/>
          <w:szCs w:val="22"/>
        </w:rPr>
        <w:t xml:space="preserve"> </w:t>
      </w:r>
      <w:r>
        <w:rPr>
          <w:rFonts w:ascii="Liberation Sans Narrow" w:hAnsi="Liberation Sans Narrow"/>
          <w:b w:val="false"/>
          <w:bCs w:val="false"/>
          <w:sz w:val="22"/>
          <w:szCs w:val="22"/>
        </w:rPr>
        <w:t>Proporcionar as condições necessárias para a plena execução dos serviços contratados;</w:t>
      </w:r>
    </w:p>
    <w:p>
      <w:pPr>
        <w:pStyle w:val="Corpodotexto"/>
        <w:spacing w:lineRule="auto" w:line="240" w:before="0" w:after="112"/>
        <w:jc w:val="both"/>
        <w:rPr>
          <w:sz w:val="22"/>
          <w:szCs w:val="22"/>
        </w:rPr>
      </w:pPr>
      <w:r>
        <w:rPr>
          <w:rFonts w:ascii="Liberation Sans Narrow" w:hAnsi="Liberation Sans Narrow"/>
          <w:b/>
          <w:bCs/>
          <w:sz w:val="22"/>
          <w:szCs w:val="22"/>
        </w:rPr>
        <w:t>8.6.</w:t>
      </w:r>
      <w:r>
        <w:rPr>
          <w:rFonts w:ascii="Liberation Sans Narrow" w:hAnsi="Liberation Sans Narrow"/>
          <w:b w:val="false"/>
          <w:bCs w:val="false"/>
          <w:sz w:val="22"/>
          <w:szCs w:val="22"/>
        </w:rPr>
        <w:t xml:space="preserve"> Exigir o cumprimento integral das obrigações assumidas pela CONTRATADA, nos termos do contrato e da legislação vigente.</w:t>
      </w:r>
    </w:p>
    <w:p>
      <w:pPr>
        <w:pStyle w:val="Corpodotexto"/>
        <w:spacing w:lineRule="auto" w:line="240" w:before="0" w:after="112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CLÁUSULA NONA – OBRIGAÇÕES DA CONTRATADA (art. 92, XIV, XVI e XVII)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9.1</w:t>
      </w:r>
      <w:r>
        <w:rPr>
          <w:rFonts w:cs="Arial" w:ascii="Liberation Sans Narrow" w:hAnsi="Liberation Sans Narrow"/>
          <w:sz w:val="22"/>
          <w:szCs w:val="22"/>
        </w:rPr>
        <w:t>.</w:t>
      </w:r>
      <w:r>
        <w:rPr>
          <w:rFonts w:cs="Arial" w:ascii="Liberation Sans Narrow" w:hAnsi="Liberation Sans Narrow"/>
          <w:b w:val="false"/>
          <w:bCs w:val="false"/>
          <w:color w:val="FF4000"/>
          <w:sz w:val="22"/>
          <w:szCs w:val="22"/>
        </w:rPr>
        <w:t xml:space="preserve"> </w:t>
      </w:r>
      <w:r>
        <w:rPr>
          <w:rFonts w:eastAsia="Times New Roman" w:cs="Comic Sans MS" w:ascii="Liberation Sans Narrow" w:hAnsi="Liberation Sans Narrow"/>
          <w:b w:val="false"/>
          <w:bCs w:val="false"/>
          <w:i w:val="false"/>
          <w:iCs w:val="false"/>
          <w:color w:val="000000"/>
          <w:kern w:val="2"/>
          <w:sz w:val="22"/>
          <w:szCs w:val="22"/>
          <w:u w:val="none"/>
          <w:shd w:fill="FFFFFF" w:val="clear"/>
          <w:lang w:val="pt-BR" w:eastAsia="zxx" w:bidi="ar-SA"/>
        </w:rPr>
        <w:t>A CONTRATADA deverá garantir que o sistema utilizado seja integralmente alimentado com todo o histórico de aplicações dos últimos cinco anos em até 20 dias após a assinatura do contrato, incluindo movimentações financeiras anteriores e atuais, rendimentos, resgates, reinvestimentos, taxas, encargos e demais informações relevantes para a gestão dos investimentos, assegurando a rastreabilidade completa dos dados;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Liberation Sans Narrow" w:hAnsi="Liberation Sans Narrow" w:eastAsia="Times New Roman" w:cs="Comic Sans MS"/>
          <w:b/>
          <w:b/>
          <w:bCs/>
          <w:i w:val="false"/>
          <w:i w:val="false"/>
          <w:iCs w:val="false"/>
          <w:color w:val="000000"/>
          <w:kern w:val="2"/>
          <w:sz w:val="22"/>
          <w:szCs w:val="22"/>
          <w:u w:val="none"/>
          <w:lang w:val="pt-BR" w:eastAsia="zxx" w:bidi="ar-SA"/>
        </w:rPr>
      </w:pPr>
      <w:r>
        <w:rPr>
          <w:rFonts w:eastAsia="Times New Roman" w:cs="Comic Sans MS" w:ascii="Liberation Sans Narrow" w:hAnsi="Liberation Sans Narrow"/>
          <w:b w:val="false"/>
          <w:bCs w:val="false"/>
          <w:i w:val="false"/>
          <w:iCs w:val="false"/>
          <w:color w:val="000000"/>
          <w:kern w:val="2"/>
          <w:sz w:val="22"/>
          <w:szCs w:val="22"/>
          <w:u w:val="none"/>
          <w:lang w:val="pt-BR" w:eastAsia="zxx" w:bidi="ar-SA"/>
        </w:rPr>
        <w:t>9.2. As atualizações das informações deverão ocorrer em tempo real ou, no máximo, em até 24 (vinte e quatro) horas após cada evento, mantendo a consistência, veracidade e integridade dos dados, comprovada por registros oficiais e documentação adequada;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Liberation Sans Narrow" w:hAnsi="Liberation Sans Narrow"/>
          <w:color w:val="000000"/>
          <w:sz w:val="22"/>
          <w:szCs w:val="22"/>
        </w:rPr>
      </w:pPr>
      <w:r>
        <w:rPr>
          <w:rFonts w:eastAsia="Times New Roman" w:cs="Comic Sans MS" w:ascii="Liberation Sans Narrow" w:hAnsi="Liberation Sans Narrow"/>
          <w:b w:val="false"/>
          <w:bCs w:val="false"/>
          <w:i w:val="false"/>
          <w:iCs w:val="false"/>
          <w:color w:val="000000"/>
          <w:kern w:val="2"/>
          <w:sz w:val="22"/>
          <w:szCs w:val="22"/>
          <w:u w:val="none"/>
          <w:lang w:val="pt-BR" w:eastAsia="zxx" w:bidi="ar-SA"/>
        </w:rPr>
        <w:t xml:space="preserve">9.3 A CONTRATADA será responsável disponibilizar o sistema completo e atualizado, garantindo à CONTRATANTE acesso total às informações para fins de controle, </w:t>
      </w: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>auditoria e geração de relatórios;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Liberation Sans Narrow" w:hAnsi="Liberation Sans Narrow"/>
          <w:color w:val="000000"/>
          <w:sz w:val="22"/>
          <w:szCs w:val="22"/>
        </w:rPr>
      </w:pP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>9.4. Ao fim do contrato, toda a base de dados deverá ser fornecida em formato aberto, não proprietário e amplamente compatível com outros sistemas, de forma a assegurar plena portabilidade das informações, sem restrições técnicas ou legais para sua utilização no novo ambiente;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Liberation Sans Narrow" w:hAnsi="Liberation Sans Narrow"/>
          <w:color w:val="000000"/>
          <w:sz w:val="22"/>
          <w:szCs w:val="22"/>
        </w:rPr>
      </w:pP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>9.5. A base de dados deverá estar inteiramente atualizada até a data final da prestação dos serviços, devidamente validada quanto à sua integridade e consistência, e acompanhada da documentação técnica necessária, incluindo dicionário de dados, estrutura dos bancos, modelos de dados e demais informações relevantes para garantir sua compreensão e reutilização;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Liberation Sans Narrow" w:hAnsi="Liberation Sans Narrow"/>
          <w:color w:val="000000"/>
          <w:sz w:val="22"/>
          <w:szCs w:val="22"/>
        </w:rPr>
      </w:pP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>9.6. Será disponibilizado 1 (um) relatório onde constará a síntese dos resultados obtidos para atualização do Estudo de ALM (ASSET LIABILITY MANAGEMENT) realizado para o RPPS.</w:t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both"/>
        <w:rPr>
          <w:rFonts w:ascii="Liberation Sans Narrow" w:hAnsi="Liberation Sans Narrow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Liberation Sans Narrow" w:hAnsi="Liberation Sans Narrow"/>
          <w:b w:val="false"/>
          <w:bCs w:val="false"/>
          <w:color w:val="000000"/>
          <w:sz w:val="22"/>
          <w:szCs w:val="22"/>
        </w:rPr>
        <w:t>O relatório será entregue em até 30 (trinta) dias após o recebimento de todos os dados e informações necessários para sua elaboração.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 w:ascii="Liberation Sans Narrow" w:hAnsi="Liberation Sans Narrow"/>
          <w:b w:val="false"/>
          <w:bCs w:val="false"/>
          <w:color w:val="000000"/>
          <w:sz w:val="22"/>
          <w:szCs w:val="22"/>
        </w:rPr>
        <w:t xml:space="preserve">9.7. A CONTRATADA deverá emitir o relatório mensal da carteira de investimentos até o dia 15 de cada mês subsequente, contendo as informações e análises necessárias para subsidiar as decisões e movimentações de investimentos do período. 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br/>
        <w:t>CLÁUSULA DÉCIMA – OBRIGAÇÕES PERTINENTES À LGPD (Lei 13.709/2018)</w:t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jc w:val="both"/>
        <w:rPr>
          <w:rFonts w:ascii="Liberation Sans Narrow" w:hAnsi="Liberation Sans Narrow" w:eastAsia="Arial Unicode MS" w:cs="Arial"/>
          <w:b/>
          <w:b/>
          <w:bCs/>
          <w:color w:val="000000"/>
          <w:sz w:val="22"/>
          <w:szCs w:val="22"/>
          <w:lang w:eastAsia="pt-BR"/>
        </w:rPr>
      </w:pPr>
      <w:r>
        <w:rPr>
          <w:rFonts w:eastAsia="Arial Unicode MS" w:cs="Arial" w:ascii="Liberation Sans Narrow" w:hAnsi="Liberation Sans Narrow"/>
          <w:b/>
          <w:bCs/>
          <w:color w:val="000000"/>
          <w:sz w:val="22"/>
          <w:szCs w:val="22"/>
          <w:lang w:eastAsia="pt-BR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jc w:val="both"/>
        <w:rPr>
          <w:sz w:val="22"/>
          <w:szCs w:val="22"/>
        </w:rPr>
      </w:pPr>
      <w:r>
        <w:rPr>
          <w:rFonts w:eastAsia="Arial Unicode MS" w:cs="Arial" w:ascii="Liberation Sans Narrow" w:hAnsi="Liberation Sans Narrow"/>
          <w:b/>
          <w:bCs/>
          <w:color w:val="000000"/>
          <w:sz w:val="22"/>
          <w:szCs w:val="22"/>
          <w:lang w:eastAsia="pt-BR"/>
        </w:rPr>
        <w:t>10.1.</w:t>
      </w:r>
      <w:r>
        <w:rPr>
          <w:rFonts w:eastAsia="Arial Unicode MS" w:cs="Arial" w:ascii="Liberation Sans Narrow" w:hAnsi="Liberation Sans Narrow"/>
          <w:color w:val="000000"/>
          <w:sz w:val="22"/>
          <w:szCs w:val="22"/>
          <w:lang w:eastAsia="pt-BR"/>
        </w:rPr>
        <w:t xml:space="preserve"> As partes deverão cumprir a Lei nº 13.709, de 14 de agosto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 </w:t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jc w:val="both"/>
        <w:rPr>
          <w:sz w:val="22"/>
          <w:szCs w:val="22"/>
        </w:rPr>
      </w:pPr>
      <w:r>
        <w:rPr>
          <w:rFonts w:eastAsia="Arial Unicode MS" w:cs="Arial" w:ascii="Liberation Sans Narrow" w:hAnsi="Liberation Sans Narrow"/>
          <w:b/>
          <w:bCs/>
          <w:color w:val="000000"/>
          <w:sz w:val="22"/>
          <w:szCs w:val="22"/>
          <w:lang w:eastAsia="pt-BR"/>
        </w:rPr>
        <w:t>10.2.</w:t>
      </w:r>
      <w:r>
        <w:rPr>
          <w:rFonts w:eastAsia="Arial Unicode MS" w:cs="Arial" w:ascii="Liberation Sans Narrow" w:hAnsi="Liberation Sans Narrow"/>
          <w:color w:val="000000"/>
          <w:sz w:val="22"/>
          <w:szCs w:val="22"/>
          <w:lang w:eastAsia="pt-BR"/>
        </w:rPr>
        <w:t xml:space="preserve"> Os dados obtidos somente poderão ser utilizados para as finalidades que justificaram seu acesso e de acordo com a boa-fé e com os princípios do art. 6º da LGPD. </w:t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jc w:val="both"/>
        <w:rPr>
          <w:sz w:val="22"/>
          <w:szCs w:val="22"/>
        </w:rPr>
      </w:pPr>
      <w:r>
        <w:rPr>
          <w:rFonts w:eastAsia="Arial Unicode MS" w:cs="Arial" w:ascii="Liberation Sans Narrow" w:hAnsi="Liberation Sans Narrow"/>
          <w:b/>
          <w:bCs/>
          <w:color w:val="000000"/>
          <w:sz w:val="22"/>
          <w:szCs w:val="22"/>
          <w:lang w:eastAsia="pt-BR"/>
        </w:rPr>
        <w:t>10.3</w:t>
      </w:r>
      <w:r>
        <w:rPr>
          <w:rFonts w:eastAsia="Arial Unicode MS" w:cs="Arial" w:ascii="Liberation Sans Narrow" w:hAnsi="Liberation Sans Narrow"/>
          <w:color w:val="000000"/>
          <w:sz w:val="22"/>
          <w:szCs w:val="22"/>
          <w:lang w:eastAsia="pt-BR"/>
        </w:rPr>
        <w:t>. É vedado o compartilhamento com terceiros dos dados obtidos fora das hipóteses permitidas em Lei.</w:t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jc w:val="both"/>
        <w:rPr>
          <w:sz w:val="22"/>
          <w:szCs w:val="22"/>
        </w:rPr>
      </w:pPr>
      <w:r>
        <w:rPr>
          <w:rFonts w:eastAsia="Arial Unicode MS" w:cs="Arial" w:ascii="Liberation Sans Narrow" w:hAnsi="Liberation Sans Narrow"/>
          <w:b/>
          <w:bCs/>
          <w:color w:val="000000"/>
          <w:sz w:val="22"/>
          <w:szCs w:val="22"/>
          <w:lang w:eastAsia="pt-BR"/>
        </w:rPr>
        <w:t>10.4.</w:t>
      </w:r>
      <w:r>
        <w:rPr>
          <w:rFonts w:eastAsia="Arial Unicode MS" w:cs="Arial" w:ascii="Liberation Sans Narrow" w:hAnsi="Liberation Sans Narrow"/>
          <w:color w:val="000000"/>
          <w:sz w:val="22"/>
          <w:szCs w:val="22"/>
          <w:lang w:eastAsia="pt-BR"/>
        </w:rPr>
        <w:t xml:space="preserve"> 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jc w:val="both"/>
        <w:rPr>
          <w:sz w:val="22"/>
          <w:szCs w:val="22"/>
        </w:rPr>
      </w:pPr>
      <w:r>
        <w:rPr>
          <w:rFonts w:eastAsia="Arial Unicode MS" w:cs="Arial" w:ascii="Liberation Sans Narrow" w:hAnsi="Liberation Sans Narrow"/>
          <w:b/>
          <w:bCs/>
          <w:color w:val="000000"/>
          <w:sz w:val="22"/>
          <w:szCs w:val="22"/>
          <w:lang w:eastAsia="pt-BR"/>
        </w:rPr>
        <w:t>10.5.</w:t>
      </w:r>
      <w:r>
        <w:rPr>
          <w:rFonts w:eastAsia="Arial Unicode MS" w:cs="Arial" w:ascii="Liberation Sans Narrow" w:hAnsi="Liberation Sans Narrow"/>
          <w:color w:val="000000"/>
          <w:sz w:val="22"/>
          <w:szCs w:val="22"/>
          <w:lang w:eastAsia="pt-BR"/>
        </w:rPr>
        <w:t xml:space="preserve"> É dever do contratado orientar e treinar seus empregados sobre os deveres, requisitos e responsabilidades decorrentes da LGPD. </w:t>
      </w:r>
    </w:p>
    <w:p>
      <w:pPr>
        <w:pStyle w:val="Normal"/>
        <w:tabs>
          <w:tab w:val="clear" w:pos="708"/>
          <w:tab w:val="left" w:pos="709" w:leader="none"/>
        </w:tabs>
        <w:spacing w:lineRule="auto" w:line="276" w:before="120" w:after="120"/>
        <w:ind w:left="851" w:hanging="360"/>
        <w:jc w:val="both"/>
        <w:rPr>
          <w:rFonts w:ascii="Arial" w:hAnsi="Arial" w:cs="Arial"/>
          <w:bCs/>
          <w:iCs/>
          <w:sz w:val="22"/>
          <w:szCs w:val="22"/>
          <w:lang w:eastAsia="pt-BR"/>
        </w:rPr>
      </w:pPr>
      <w:r>
        <w:rPr>
          <w:rFonts w:cs="Arial" w:ascii="Arial" w:hAnsi="Arial"/>
          <w:bCs/>
          <w:iCs/>
          <w:sz w:val="22"/>
          <w:szCs w:val="22"/>
          <w:lang w:eastAsia="pt-BR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PRIMEIRA – INFRAÇÕES E SANÇÕES ADMINISTRATIVAS (art. 92, XIV)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11.1. </w:t>
      </w:r>
      <w:r>
        <w:rPr>
          <w:rFonts w:cs="Arial" w:ascii="Liberation Sans Narrow" w:hAnsi="Liberation Sans Narrow"/>
          <w:sz w:val="22"/>
          <w:szCs w:val="22"/>
        </w:rPr>
        <w:t>Comete infração administrativa, nos termos do art. 155 da Lei nº 14.133, de 2021, o Contratado que: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der causa à inexecução parcial do contrato;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der causa à inexecução parcial do contrato que cause grave dano à Administração ou ao funcionamento dos serviços públicos ou ao interesse coletivo;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der causa à inexecução total do contrato;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deixar de entregar a documentação exigida para o certame;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não manter a proposta, salvo em decorrência de fato superveniente devidamente justificado;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não celebrar o contrato ou não entregar a documentação exigida para a contratação, quando convocado dentro do prazo de validade de sua proposta;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ensejar o retardamento da execução ou da entrega do objeto da contratação sem motivo justificado;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apresentar declaração ou documentação falsa exigida para o certame ou prestar declaração falsa durante a dispensa eletrônica ou execução do contrato;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fraudar a contratação ou praticar ato fraudulento na execução do contrato;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comportar-se de modo inidôneo ou cometer fraude de qualquer natureza;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praticar atos ilícitos com vistas a frustrar os objetivos da contratação;</w:t>
      </w:r>
    </w:p>
    <w:p>
      <w:pPr>
        <w:pStyle w:val="PargrafodaLista1"/>
        <w:numPr>
          <w:ilvl w:val="2"/>
          <w:numId w:val="2"/>
        </w:numPr>
        <w:spacing w:lineRule="auto" w:line="276" w:before="120" w:after="120"/>
        <w:ind w:left="1224" w:right="-30" w:hanging="504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praticar ato lesivo previsto no art. 5º da Lei nº 12.846, de 1º de agosto de 2013.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11.2.</w:t>
      </w:r>
      <w:r>
        <w:rPr>
          <w:rFonts w:cs="Arial" w:ascii="Liberation Sans Narrow" w:hAnsi="Liberation Sans Narrow"/>
          <w:sz w:val="22"/>
          <w:szCs w:val="22"/>
        </w:rPr>
        <w:t xml:space="preserve"> Serão aplicadas ao responsável pelas infrações administrativas acima descritas as seguintes sanções:</w:t>
      </w:r>
    </w:p>
    <w:p>
      <w:pPr>
        <w:pStyle w:val="Normal"/>
        <w:numPr>
          <w:ilvl w:val="2"/>
          <w:numId w:val="3"/>
        </w:numPr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Advertência</w:t>
      </w:r>
      <w:r>
        <w:rPr>
          <w:rFonts w:cs="Arial" w:ascii="Liberation Sans Narrow" w:hAnsi="Liberation Sans Narrow"/>
          <w:sz w:val="22"/>
          <w:szCs w:val="22"/>
        </w:rPr>
        <w:t>, quando o Contratado der causa à inexecução parcial do contrato, sempre que não se justificar a imposição de penalidade mais grave (art. 156, §2º, da Lei);</w:t>
      </w:r>
    </w:p>
    <w:p>
      <w:pPr>
        <w:pStyle w:val="Normal"/>
        <w:numPr>
          <w:ilvl w:val="2"/>
          <w:numId w:val="3"/>
        </w:numPr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Impedimento de licitar e contratar</w:t>
      </w:r>
      <w:r>
        <w:rPr>
          <w:rFonts w:cs="Arial" w:ascii="Liberation Sans Narrow" w:hAnsi="Liberation Sans Narrow"/>
          <w:sz w:val="22"/>
          <w:szCs w:val="22"/>
        </w:rPr>
        <w:t>, quando praticadas as condutas descritas nas alíneas b, c, d, e, f e g do subitem acima deste Contrato, sempre que não se justificar a imposição de penalidade mais grave (art. 156, §4º, da Lei);</w:t>
      </w:r>
    </w:p>
    <w:p>
      <w:pPr>
        <w:pStyle w:val="Normal"/>
        <w:numPr>
          <w:ilvl w:val="2"/>
          <w:numId w:val="3"/>
        </w:numPr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Declaração de inidoneidade para licitar e contratar</w:t>
      </w:r>
      <w:r>
        <w:rPr>
          <w:rFonts w:cs="Arial" w:ascii="Liberation Sans Narrow" w:hAnsi="Liberation Sans Narrow"/>
          <w:sz w:val="22"/>
          <w:szCs w:val="22"/>
        </w:rPr>
        <w:t>, quando praticadas as condutas descritas nas alíneas h, i, j, k e l do subitem acima deste Contrato, bem como nas alíneas b, c, d, e, f e g, que justifiquem a imposição de penalidade mais grave (art. 156, §5º, da Lei)</w:t>
      </w:r>
    </w:p>
    <w:p>
      <w:pPr>
        <w:pStyle w:val="Normal"/>
        <w:numPr>
          <w:ilvl w:val="2"/>
          <w:numId w:val="3"/>
        </w:numPr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Multa:</w:t>
      </w:r>
    </w:p>
    <w:p>
      <w:pPr>
        <w:pStyle w:val="Normal"/>
        <w:numPr>
          <w:ilvl w:val="3"/>
          <w:numId w:val="3"/>
        </w:numPr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moratória de 5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 % (cinco</w:t>
      </w:r>
      <w:r>
        <w:rPr>
          <w:rFonts w:cs="Arial" w:ascii="Liberation Sans Narrow" w:hAnsi="Liberation Sans Narrow"/>
          <w:color w:val="FF0000"/>
          <w:sz w:val="22"/>
          <w:szCs w:val="22"/>
        </w:rPr>
        <w:t xml:space="preserve"> </w:t>
      </w:r>
      <w:r>
        <w:rPr>
          <w:rFonts w:cs="Arial" w:ascii="Liberation Sans Narrow" w:hAnsi="Liberation Sans Narrow"/>
          <w:sz w:val="22"/>
          <w:szCs w:val="22"/>
        </w:rPr>
        <w:t xml:space="preserve">por cento) por dia de atraso injustificado sobre o valor da parcela inadimplida, até o limite de 30 </w:t>
      </w:r>
      <w:r>
        <w:rPr>
          <w:rFonts w:cs="Arial" w:ascii="Liberation Sans Narrow" w:hAnsi="Liberation Sans Narrow"/>
          <w:color w:val="FF0000"/>
          <w:sz w:val="22"/>
          <w:szCs w:val="22"/>
        </w:rPr>
        <w:t xml:space="preserve"> </w:t>
      </w:r>
      <w:r>
        <w:rPr>
          <w:rFonts w:cs="Arial" w:ascii="Liberation Sans Narrow" w:hAnsi="Liberation Sans Narrow"/>
          <w:color w:val="000000"/>
          <w:sz w:val="22"/>
          <w:szCs w:val="22"/>
        </w:rPr>
        <w:t>(trinta) di</w:t>
      </w:r>
      <w:r>
        <w:rPr>
          <w:rFonts w:cs="Arial" w:ascii="Liberation Sans Narrow" w:hAnsi="Liberation Sans Narrow"/>
          <w:sz w:val="22"/>
          <w:szCs w:val="22"/>
        </w:rPr>
        <w:t>as;</w:t>
      </w:r>
    </w:p>
    <w:p>
      <w:pPr>
        <w:pStyle w:val="Normal"/>
        <w:numPr>
          <w:ilvl w:val="4"/>
          <w:numId w:val="3"/>
        </w:numPr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 xml:space="preserve">O atraso superior a trinta dias autoriza a Administração a promover a rescisão do contrato por descumprimento ou cumprimento irregular de suas cláusulas, conforme dispõe o inciso I do art. 137 da Lei n. 14.133, de 2021. 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b/>
          <w:b/>
          <w:bCs/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11.3. </w:t>
      </w:r>
      <w:r>
        <w:rPr>
          <w:rFonts w:cs="Arial" w:ascii="Liberation Sans Narrow" w:hAnsi="Liberation Sans Narrow"/>
          <w:sz w:val="22"/>
          <w:szCs w:val="22"/>
        </w:rPr>
        <w:t>A aplicação das sanções previstas neste Contrato não exclui, em hipótese alguma, a obrigação de reparação integral do dano causado à Contratante (art. 156, §9º)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11.4.</w:t>
      </w:r>
      <w:r>
        <w:rPr>
          <w:rFonts w:cs="Arial" w:ascii="Liberation Sans Narrow" w:hAnsi="Liberation Sans Narrow"/>
          <w:sz w:val="22"/>
          <w:szCs w:val="22"/>
        </w:rPr>
        <w:t xml:space="preserve"> Todas as sanções previstas neste Contrato poderão ser aplicadas cumulativamente com a multa (art. 156, §7º).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11.4.1. </w:t>
      </w:r>
      <w:r>
        <w:rPr>
          <w:rFonts w:cs="Arial" w:ascii="Liberation Sans Narrow" w:hAnsi="Liberation Sans Narrow"/>
          <w:sz w:val="22"/>
          <w:szCs w:val="22"/>
        </w:rPr>
        <w:t>Antes da aplicação da multa será facultada a defesa do interessado no prazo de 15 (quinze) dias úteis, contado da data de sua intimação (art. 157)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11.4.2.</w:t>
      </w:r>
      <w:r>
        <w:rPr>
          <w:rFonts w:cs="Arial" w:ascii="Liberation Sans Narrow" w:hAnsi="Liberation Sans Narrow"/>
          <w:sz w:val="22"/>
          <w:szCs w:val="22"/>
        </w:rPr>
        <w:t xml:space="preserve"> Se a multa aplicada e as indenizações cabíveis forem superiores ao valor do pagamento eventualmente devido pelo Contratante ao Contratado, além da perda desse valor, a diferença será descontada da garantia prestada ou será cobrada judicialmente (art. 156, §8º).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11.4.3.</w:t>
      </w:r>
      <w:r>
        <w:rPr>
          <w:rFonts w:cs="Arial" w:ascii="Liberation Sans Narrow" w:hAnsi="Liberation Sans Narrow"/>
          <w:sz w:val="22"/>
          <w:szCs w:val="22"/>
        </w:rPr>
        <w:t>Previamente ao encaminhamento à cobrança judicial, a multa poderá ser recolhida administrativamente no prazo máximo de 30</w:t>
      </w:r>
      <w:r>
        <w:rPr>
          <w:rFonts w:cs="Arial" w:ascii="Liberation Sans Narrow" w:hAnsi="Liberation Sans Narrow"/>
          <w:i/>
          <w:iCs/>
          <w:color w:val="FF0000"/>
          <w:sz w:val="22"/>
          <w:szCs w:val="22"/>
        </w:rPr>
        <w:t xml:space="preserve"> </w:t>
      </w: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(trinta)</w:t>
      </w:r>
      <w:r>
        <w:rPr>
          <w:rFonts w:cs="Arial" w:ascii="Liberation Sans Narrow" w:hAnsi="Liberation Sans Narrow"/>
          <w:i/>
          <w:iCs/>
          <w:color w:val="FF0000"/>
          <w:sz w:val="22"/>
          <w:szCs w:val="22"/>
        </w:rPr>
        <w:t xml:space="preserve"> </w:t>
      </w:r>
      <w:r>
        <w:rPr>
          <w:rFonts w:cs="Arial" w:ascii="Liberation Sans Narrow" w:hAnsi="Liberation Sans Narrow"/>
          <w:sz w:val="22"/>
          <w:szCs w:val="22"/>
        </w:rPr>
        <w:t>dias, a contar da data do recebimento da comunicação enviada pela autoridade competente.</w:t>
      </w:r>
      <w:bookmarkStart w:id="4" w:name="_Hlk78351618"/>
      <w:bookmarkEnd w:id="4"/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11.5</w:t>
      </w:r>
      <w:r>
        <w:rPr>
          <w:rFonts w:cs="Arial" w:ascii="Liberation Sans Narrow" w:hAnsi="Liberation Sans Narrow"/>
          <w:sz w:val="22"/>
          <w:szCs w:val="22"/>
        </w:rPr>
        <w:t xml:space="preserve">. A aplicação das sanções realizar-se-á em processo administrativo que assegure o contraditório e a ampla defesa ao Contratado, observando-se o procedimento previsto no </w:t>
      </w:r>
      <w:r>
        <w:rPr>
          <w:rFonts w:cs="Arial" w:ascii="Liberation Sans Narrow" w:hAnsi="Liberation Sans Narrow"/>
          <w:b/>
          <w:bCs/>
          <w:sz w:val="22"/>
          <w:szCs w:val="22"/>
        </w:rPr>
        <w:t xml:space="preserve">caput </w:t>
      </w:r>
      <w:r>
        <w:rPr>
          <w:rFonts w:cs="Arial" w:ascii="Liberation Sans Narrow" w:hAnsi="Liberation Sans Narrow"/>
          <w:sz w:val="22"/>
          <w:szCs w:val="22"/>
        </w:rPr>
        <w:t>e parágrafos do art. 158 da Lei nº 14.133, de 2021, para as penalidades de impedimento de licitar e contratar e de declaração de inidoneidade para licitar ou contratar.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11.6.</w:t>
      </w:r>
      <w:r>
        <w:rPr>
          <w:rFonts w:cs="Arial" w:ascii="Liberation Sans Narrow" w:hAnsi="Liberation Sans Narrow"/>
          <w:sz w:val="22"/>
          <w:szCs w:val="22"/>
        </w:rPr>
        <w:t xml:space="preserve"> Na aplicação das sanções serão considerados (art. 156, §1º):</w:t>
      </w:r>
    </w:p>
    <w:p>
      <w:pPr>
        <w:pStyle w:val="ListParagraph"/>
        <w:numPr>
          <w:ilvl w:val="0"/>
          <w:numId w:val="4"/>
        </w:numPr>
        <w:spacing w:lineRule="auto" w:line="276" w:before="120" w:after="120"/>
        <w:ind w:left="1436" w:right="-3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a natureza e a gravidade da infração cometida;</w:t>
      </w:r>
    </w:p>
    <w:p>
      <w:pPr>
        <w:pStyle w:val="ListParagraph"/>
        <w:numPr>
          <w:ilvl w:val="0"/>
          <w:numId w:val="4"/>
        </w:numPr>
        <w:spacing w:lineRule="auto" w:line="276" w:before="120" w:after="120"/>
        <w:ind w:left="1436" w:right="-3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as peculiaridades do caso concreto;</w:t>
      </w:r>
    </w:p>
    <w:p>
      <w:pPr>
        <w:pStyle w:val="ListParagraph"/>
        <w:numPr>
          <w:ilvl w:val="0"/>
          <w:numId w:val="4"/>
        </w:numPr>
        <w:spacing w:lineRule="auto" w:line="276" w:before="120" w:after="120"/>
        <w:ind w:left="1436" w:right="-3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as circunstâncias agravantes ou atenuantes;</w:t>
      </w:r>
    </w:p>
    <w:p>
      <w:pPr>
        <w:pStyle w:val="ListParagraph"/>
        <w:numPr>
          <w:ilvl w:val="0"/>
          <w:numId w:val="4"/>
        </w:numPr>
        <w:spacing w:lineRule="auto" w:line="276" w:before="120" w:after="120"/>
        <w:ind w:left="1436" w:right="-3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os danos que dela provierem para o Contratante;</w:t>
      </w:r>
    </w:p>
    <w:p>
      <w:pPr>
        <w:pStyle w:val="ListParagraph"/>
        <w:numPr>
          <w:ilvl w:val="0"/>
          <w:numId w:val="4"/>
        </w:numPr>
        <w:spacing w:lineRule="auto" w:line="276" w:before="120" w:after="120"/>
        <w:ind w:left="1436" w:right="-30" w:hanging="360"/>
        <w:contextualSpacing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a implantação ou o aperfeiçoamento de programa de integridade, conforme normas e orientações dos órgãos de controle.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11.7.</w:t>
      </w:r>
      <w:r>
        <w:rPr>
          <w:rFonts w:cs="Arial" w:ascii="Liberation Sans Narrow" w:hAnsi="Liberation Sans Narrow"/>
          <w:sz w:val="22"/>
          <w:szCs w:val="22"/>
        </w:rPr>
        <w:t xml:space="preserve"> Os atos previstos como infrações administrativas na Lei nº 14.133, de 2021, ou em outras leis de licitações e contratos da Administração Pública que também sejam tipificados como atos lesivos na Lei nº 12.846, de 2013, serão apurados e julgados conjuntamente, nos mesmos autos, observados o rito procedimental e autoridade competente definidos na referida Lei (art. 159)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11.8. </w:t>
      </w:r>
      <w:r>
        <w:rPr>
          <w:rFonts w:cs="Arial" w:ascii="Liberation Sans Narrow" w:hAnsi="Liberation Sans Narrow"/>
          <w:sz w:val="22"/>
          <w:szCs w:val="22"/>
        </w:rPr>
        <w:t>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(art. 160)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11.9.</w:t>
      </w:r>
      <w:r>
        <w:rPr>
          <w:rFonts w:cs="Arial" w:ascii="Liberation Sans Narrow" w:hAnsi="Liberation Sans Narrow"/>
          <w:sz w:val="22"/>
          <w:szCs w:val="22"/>
        </w:rPr>
        <w:t xml:space="preserve"> O Contratante deverá, no prazo máximo 15 (quinze) dias úteis, contado da data de aplicação da sanção, informar e manter atualizados os dados relativos às sanções por ela aplicadas, para fins de publicidade no Cadastro Nacional de Empresas Inidôneas e Suspensas (Ceis) e no Cadastro Nacional de Empresas Punidas (Cnep), instituídos no âmbito do Poder Executivo Federal. (Art. 161)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11.10</w:t>
      </w:r>
      <w:r>
        <w:rPr>
          <w:rFonts w:cs="Arial" w:ascii="Liberation Sans Narrow" w:hAnsi="Liberation Sans Narrow"/>
          <w:sz w:val="22"/>
          <w:szCs w:val="22"/>
        </w:rPr>
        <w:t>. As sanções de impedimento de licitar e contratar e declaração de inidoneidade para licitar ou contratar são passíveis de reabilitação na forma do art. 163 da Lei nº 14.133/21.</w:t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SEGUNDA – DA EXECUÇÃO CONTRATUAL (art. 92, XIX)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 xml:space="preserve">12.1. </w:t>
      </w: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O contrato se extingue quando vencido o prazo nele estipulado, independentemente de terem sido cumpridas ou não as obrigações de ambas as partes contraentes.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/>
          <w:iCs/>
          <w:color w:val="000000"/>
          <w:sz w:val="22"/>
          <w:szCs w:val="22"/>
        </w:rPr>
        <w:t xml:space="preserve">12.1.1. </w:t>
      </w: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O contrato pode ser extinto antes do prazo nele fixado, sem ônus para o Contratante, quando esta não dispuser de créditos orçamentários para sua continuidade ou quando entender que o contrato não mais lhe oferece vantagem.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/>
          <w:iCs/>
          <w:color w:val="000000"/>
          <w:sz w:val="22"/>
          <w:szCs w:val="22"/>
        </w:rPr>
        <w:t>12.1.2.</w:t>
      </w: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 xml:space="preserve"> A extinção nesta hipótese ocorrerá na próxima data de aniversário do contrato, desde que haja a notificação do contratado pelo contratante nesse sentido com pelo menos 2 (dois) meses de antecedência desse dia.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i/>
          <w:iCs/>
          <w:color w:val="000000"/>
          <w:sz w:val="22"/>
          <w:szCs w:val="22"/>
        </w:rPr>
        <w:t>12.1.3.</w:t>
      </w: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 xml:space="preserve"> Caso a notificação da não-continuidade do contrato de que trata este subitem ocorra com menos de 2 (dois) meses da data de aniversário, a extinção contratual ocorrerá após 2 (dois) meses da data da comunicação.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b w:val="false"/>
          <w:b w:val="false"/>
          <w:bCs w:val="false"/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12.2</w:t>
      </w:r>
      <w:r>
        <w:rPr>
          <w:rFonts w:cs="Arial" w:ascii="Liberation Sans Narrow" w:hAnsi="Liberation Sans Narrow"/>
          <w:b w:val="false"/>
          <w:bCs w:val="false"/>
          <w:sz w:val="22"/>
          <w:szCs w:val="22"/>
        </w:rPr>
        <w:t xml:space="preserve">. O contrato pode ser extinto antes de cumpridas as obrigações nele estipuladas, ou antes do prazo nele fixado, por algum dos motivos previstos no artigo 137 da NLLC, bem como amigavelmente, </w:t>
      </w:r>
      <w:r>
        <w:rPr>
          <w:rFonts w:cs="Arial" w:ascii="Liberation Sans Narrow" w:hAnsi="Liberation Sans Narrow"/>
          <w:b w:val="false"/>
          <w:bCs w:val="false"/>
          <w:color w:val="000000"/>
          <w:sz w:val="22"/>
          <w:szCs w:val="22"/>
        </w:rPr>
        <w:t>assegurados o contraditório e a ampla defesa</w:t>
      </w:r>
      <w:r>
        <w:rPr>
          <w:rFonts w:cs="Arial" w:ascii="Liberation Sans Narrow" w:hAnsi="Liberation Sans Narrow"/>
          <w:b w:val="false"/>
          <w:bCs w:val="false"/>
          <w:sz w:val="22"/>
          <w:szCs w:val="22"/>
        </w:rPr>
        <w:t>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12.2.1.</w:t>
      </w:r>
      <w:r>
        <w:rPr>
          <w:rFonts w:cs="Arial" w:ascii="Liberation Sans Narrow" w:hAnsi="Liberation Sans Narrow"/>
          <w:sz w:val="22"/>
          <w:szCs w:val="22"/>
        </w:rPr>
        <w:t xml:space="preserve"> Nesta hipótese, aplicam-se também os artigos 138 e 139 da mesma Lei.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12.2.2.</w:t>
      </w:r>
      <w:r>
        <w:rPr>
          <w:rFonts w:cs="Arial" w:ascii="Liberation Sans Narrow" w:hAnsi="Liberation Sans Narrow"/>
          <w:sz w:val="22"/>
          <w:szCs w:val="22"/>
        </w:rPr>
        <w:t xml:space="preserve"> A </w:t>
      </w:r>
      <w:r>
        <w:rPr>
          <w:rFonts w:cs="Arial" w:ascii="Liberation Sans Narrow" w:hAnsi="Liberation Sans Narrow"/>
          <w:color w:val="000000"/>
          <w:sz w:val="22"/>
          <w:szCs w:val="22"/>
        </w:rPr>
        <w:t>alteração social ou modificação da finalidade ou da estrutura da empresa</w:t>
      </w:r>
      <w:r>
        <w:rPr>
          <w:rFonts w:cs="Arial" w:ascii="Liberation Sans Narrow" w:hAnsi="Liberation Sans Narrow"/>
          <w:sz w:val="22"/>
          <w:szCs w:val="22"/>
        </w:rPr>
        <w:t xml:space="preserve"> não ensejará rescisão se não </w:t>
      </w:r>
      <w:r>
        <w:rPr>
          <w:rFonts w:cs="Arial" w:ascii="Liberation Sans Narrow" w:hAnsi="Liberation Sans Narrow"/>
          <w:color w:val="000000"/>
          <w:sz w:val="22"/>
          <w:szCs w:val="22"/>
        </w:rPr>
        <w:t>restringir sua capacidade de concluir o contrato.</w:t>
      </w:r>
    </w:p>
    <w:p>
      <w:pPr>
        <w:pStyle w:val="Normal"/>
        <w:spacing w:lineRule="auto" w:line="276" w:before="120" w:after="120"/>
        <w:ind w:hanging="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color w:val="000000"/>
          <w:sz w:val="22"/>
          <w:szCs w:val="22"/>
        </w:rPr>
        <w:t>12.2.2.1.</w:t>
      </w:r>
      <w:r>
        <w:rPr>
          <w:rFonts w:cs="Arial" w:ascii="Liberation Sans Narrow" w:hAnsi="Liberation Sans Narrow"/>
          <w:color w:val="000000"/>
          <w:sz w:val="22"/>
          <w:szCs w:val="22"/>
        </w:rPr>
        <w:t xml:space="preserve"> Se a operação </w:t>
      </w:r>
      <w:r>
        <w:rPr>
          <w:rFonts w:cs="Arial" w:ascii="Liberation Sans Narrow" w:hAnsi="Liberation Sans Narrow"/>
          <w:sz w:val="22"/>
          <w:szCs w:val="22"/>
        </w:rPr>
        <w:t>implicar mudança da pessoa jurídica contratada, deverá ser formalizado termo aditivo para alteração subjetiva.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12.3. </w:t>
      </w:r>
      <w:r>
        <w:rPr>
          <w:rFonts w:cs="Arial" w:ascii="Liberation Sans Narrow" w:hAnsi="Liberation Sans Narrow"/>
          <w:sz w:val="22"/>
          <w:szCs w:val="22"/>
        </w:rPr>
        <w:t>O termo de rescisão, sempre que possível, será precedido: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12.3.1.</w:t>
      </w:r>
      <w:r>
        <w:rPr>
          <w:rFonts w:cs="Arial" w:ascii="Liberation Sans Narrow" w:hAnsi="Liberation Sans Narrow"/>
          <w:sz w:val="22"/>
          <w:szCs w:val="22"/>
        </w:rPr>
        <w:t xml:space="preserve"> Balanço dos eventos contratuais já cumpridos ou parcialmente cumpridos;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12.3.2.</w:t>
      </w:r>
      <w:r>
        <w:rPr>
          <w:rFonts w:cs="Arial" w:ascii="Liberation Sans Narrow" w:hAnsi="Liberation Sans Narrow"/>
          <w:sz w:val="22"/>
          <w:szCs w:val="22"/>
        </w:rPr>
        <w:t xml:space="preserve"> Relação dos pagamentos já efetuados e ainda devidos;</w:t>
      </w:r>
    </w:p>
    <w:p>
      <w:pPr>
        <w:pStyle w:val="Normal"/>
        <w:spacing w:lineRule="auto" w:line="276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12.3.3. </w:t>
      </w:r>
      <w:r>
        <w:rPr>
          <w:rFonts w:cs="Arial" w:ascii="Liberation Sans Narrow" w:hAnsi="Liberation Sans Narrow"/>
          <w:sz w:val="22"/>
          <w:szCs w:val="22"/>
        </w:rPr>
        <w:t>Indenizações e multas.</w:t>
      </w:r>
    </w:p>
    <w:p>
      <w:pPr>
        <w:pStyle w:val="Normal"/>
        <w:spacing w:lineRule="auto" w:line="276" w:before="120" w:after="120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cs="Arial" w:ascii="Arial" w:hAnsi="Arial"/>
          <w:sz w:val="22"/>
          <w:szCs w:val="22"/>
          <w:lang w:eastAsia="pt-BR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TERCEIRA – DOTAÇÃO ORÇAMENTÁRIA (art. 92, VIII)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Liberation Sans Narrow" w:ascii="Liberation Sans Narrow" w:hAnsi="Liberation Sans Narrow"/>
          <w:b/>
          <w:bCs/>
          <w:color w:val="000000"/>
          <w:sz w:val="22"/>
          <w:szCs w:val="22"/>
        </w:rPr>
        <w:t xml:space="preserve">13.1. </w:t>
      </w:r>
      <w:r>
        <w:rPr>
          <w:rFonts w:cs="Liberation Sans Narrow" w:ascii="Liberation Sans Narrow" w:hAnsi="Liberation Sans Narrow"/>
          <w:color w:val="000000"/>
          <w:sz w:val="22"/>
          <w:szCs w:val="22"/>
          <w:lang w:eastAsia="zh-CN"/>
        </w:rPr>
        <w:t xml:space="preserve">O crédito pelo qual correrão as despesas é da </w:t>
      </w:r>
      <w:r>
        <w:rPr>
          <w:rFonts w:cs="Liberation Sans Narrow" w:ascii="Liberation Sans Narrow" w:hAnsi="Liberation Sans Narrow"/>
          <w:color w:val="000000"/>
          <w:sz w:val="22"/>
          <w:szCs w:val="22"/>
        </w:rPr>
        <w:t xml:space="preserve">Função Programática: </w:t>
      </w:r>
      <w:r>
        <w:rPr>
          <w:rFonts w:eastAsia="Tahoma" w:cs="Liberation Sans Narrow" w:ascii="Liberation Sans Narrow" w:hAnsi="Liberation Sans Narrow"/>
          <w:b/>
          <w:bCs/>
          <w:color w:val="111111"/>
          <w:sz w:val="22"/>
          <w:szCs w:val="22"/>
          <w:highlight w:val="white"/>
        </w:rPr>
        <w:t>47.01.09.122.0127.2.338</w:t>
      </w:r>
      <w:r>
        <w:rPr>
          <w:rFonts w:cs="Liberation Sans Narrow" w:ascii="Liberation Sans Narrow" w:hAnsi="Liberation Sans Narrow"/>
          <w:b/>
          <w:bCs/>
          <w:color w:val="111111"/>
          <w:sz w:val="22"/>
          <w:szCs w:val="22"/>
        </w:rPr>
        <w:t xml:space="preserve"> – 3.3.90.35.</w:t>
      </w:r>
    </w:p>
    <w:p>
      <w:pPr>
        <w:pStyle w:val="Corpodotexto"/>
        <w:jc w:val="both"/>
        <w:rPr>
          <w:sz w:val="22"/>
          <w:szCs w:val="22"/>
        </w:rPr>
      </w:pPr>
      <w:r>
        <w:rPr>
          <w:rFonts w:cs="Liberation Sans Narrow" w:ascii="Liberation Sans Narrow" w:hAnsi="Liberation Sans Narrow"/>
          <w:b/>
          <w:bCs/>
          <w:sz w:val="22"/>
          <w:szCs w:val="22"/>
        </w:rPr>
        <w:t>13.2.</w:t>
      </w:r>
      <w:r>
        <w:rPr>
          <w:rFonts w:cs="Liberation Sans Narrow" w:ascii="Liberation Sans Narrow" w:hAnsi="Liberation Sans Narrow"/>
          <w:sz w:val="22"/>
          <w:szCs w:val="22"/>
        </w:rPr>
        <w:t xml:space="preserve"> </w:t>
      </w: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A dotação relativa aos exercícios financeiros subsequentes será indicada após aprovação da Lei Orçamentária respectiva e liberação dos créditos correspondentes, mediante apostilamento</w:t>
      </w:r>
      <w:r>
        <w:rPr>
          <w:rFonts w:cs="Liberation Sans Narrow" w:ascii="Liberation Sans Narrow" w:hAnsi="Liberation Sans Narrow"/>
          <w:color w:val="000000"/>
          <w:sz w:val="22"/>
          <w:szCs w:val="22"/>
        </w:rPr>
        <w:t>.</w:t>
      </w:r>
    </w:p>
    <w:p>
      <w:pPr>
        <w:pStyle w:val="Corpodotexto"/>
        <w:jc w:val="both"/>
        <w:rPr>
          <w:rFonts w:ascii="Liberation Sans Narrow" w:hAnsi="Liberation Sans Narrow" w:cs="Liberation Sans Narrow"/>
          <w:color w:val="000000"/>
          <w:sz w:val="22"/>
          <w:szCs w:val="22"/>
        </w:rPr>
      </w:pPr>
      <w:r>
        <w:rPr>
          <w:rFonts w:cs="Liberation Sans Narrow" w:ascii="Liberation Sans Narrow" w:hAnsi="Liberation Sans Narrow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QUARTA – CASOS OMISSOS (art. 92, III)</w:t>
      </w:r>
    </w:p>
    <w:p>
      <w:pPr>
        <w:pStyle w:val="Corpodotexto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14.1.</w:t>
      </w:r>
      <w:r>
        <w:rPr>
          <w:rFonts w:cs="Arial" w:ascii="Liberation Sans Narrow" w:hAnsi="Liberation Sans Narrow"/>
          <w:sz w:val="22"/>
          <w:szCs w:val="22"/>
        </w:rPr>
        <w:t xml:space="preserve"> Os casos omissos serão decididos pelo CONTRATANTE, segundo as disposições contidas na Lei nº 14.133, de 2021 e demais normas federais aplicáveis e, subsidiariamente, segundo as disposições contidas na Lei nº 8.078, de 1990 – Código de Defesa do Consumidor – e normas e princípios gerais dos contratos.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QUINTA – ALTERAÇÕES</w:t>
      </w:r>
    </w:p>
    <w:p>
      <w:pPr>
        <w:pStyle w:val="Corpodotexto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15.1.</w:t>
      </w:r>
      <w:r>
        <w:rPr>
          <w:rFonts w:cs="Arial" w:ascii="Liberation Sans Narrow" w:hAnsi="Liberation Sans Narrow"/>
          <w:sz w:val="22"/>
          <w:szCs w:val="22"/>
        </w:rPr>
        <w:t xml:space="preserve"> Eventuais alterações contratuais reger-se-ão pela disciplina dos arts. 124 e seguintes da Lei nº 14.133, de 2021.</w:t>
      </w:r>
    </w:p>
    <w:p>
      <w:pPr>
        <w:pStyle w:val="Corpodotexto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15.2.</w:t>
      </w:r>
      <w:r>
        <w:rPr>
          <w:rFonts w:cs="Arial" w:ascii="Liberation Sans Narrow" w:hAnsi="Liberation Sans Narrow"/>
          <w:sz w:val="22"/>
          <w:szCs w:val="22"/>
        </w:rPr>
        <w:t xml:space="preserve"> O CONTRATADO é obrigada a aceitar, nas mesmas condições contratuais, os acréscimos ou supressões que se fizerem necessários, até o limite de 25% (vinte e cinco por cento) do valor inicial atualizado do contrato.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>15.3.</w:t>
      </w:r>
      <w:r>
        <w:rPr>
          <w:rFonts w:cs="Arial" w:ascii="Liberation Sans Narrow" w:hAnsi="Liberation Sans Narrow"/>
          <w:sz w:val="22"/>
          <w:szCs w:val="22"/>
        </w:rPr>
        <w:t xml:space="preserve"> As supressões resultantes de acordo celebrado entre as partes contratantes poderão exceder o limite de 25% (vinte e cinco por cento) do valor inicial atualizado do termo de contrato.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15.4.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Liberation Sans Narrow" w:hAnsi="Liberation Sans Narrow"/>
          <w:sz w:val="22"/>
          <w:szCs w:val="22"/>
        </w:rPr>
        <w:t>Registros que não caracterizam alteração do contrato podem ser realizados por simples apostila, dispensada a celebração de termo aditivo, na forma do art. 136 da Lei nº 14.133, de 2021.</w:t>
      </w:r>
    </w:p>
    <w:p>
      <w:pPr>
        <w:pStyle w:val="Normal"/>
        <w:spacing w:lineRule="auto" w:line="276" w:before="120" w:after="120"/>
        <w:jc w:val="both"/>
        <w:rPr>
          <w:rFonts w:ascii="Arial" w:hAnsi="Arial" w:eastAsia="Calibri" w:cs="Arial"/>
          <w:b/>
          <w:b/>
          <w:bCs/>
          <w:color w:val="000000"/>
          <w:sz w:val="12"/>
          <w:szCs w:val="12"/>
          <w:lang w:eastAsia="pt-BR"/>
        </w:rPr>
      </w:pPr>
      <w:r>
        <w:rPr>
          <w:rFonts w:eastAsia="Calibri" w:cs="Arial" w:ascii="Arial" w:hAnsi="Arial"/>
          <w:b/>
          <w:bCs/>
          <w:color w:val="000000"/>
          <w:sz w:val="12"/>
          <w:szCs w:val="12"/>
          <w:lang w:eastAsia="pt-BR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SEXTA – PUBLICAÇÃO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rFonts w:ascii="Arial" w:hAnsi="Arial" w:eastAsia="Calibri" w:cs="Arial"/>
          <w:b/>
          <w:b/>
          <w:bCs/>
          <w:color w:val="000000"/>
          <w:sz w:val="12"/>
          <w:szCs w:val="12"/>
          <w:lang w:eastAsia="pt-BR"/>
        </w:rPr>
      </w:pPr>
      <w:r>
        <w:rPr>
          <w:rFonts w:eastAsia="Calibri" w:cs="Arial" w:ascii="Arial" w:hAnsi="Arial"/>
          <w:b/>
          <w:bCs/>
          <w:color w:val="000000"/>
          <w:sz w:val="12"/>
          <w:szCs w:val="12"/>
          <w:lang w:eastAsia="pt-BR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b/>
          <w:bCs/>
          <w:sz w:val="22"/>
          <w:szCs w:val="22"/>
        </w:rPr>
        <w:t xml:space="preserve">16.1. </w:t>
      </w:r>
      <w:r>
        <w:rPr>
          <w:rFonts w:cs="Arial" w:ascii="Liberation Sans Narrow" w:hAnsi="Liberation Sans Narrow"/>
          <w:sz w:val="22"/>
          <w:szCs w:val="22"/>
        </w:rPr>
        <w:t>Incumbirá à CONTRATANTE providenciar a publicação deste instrumento nos termos e condições previstas na Lei nº 14.133/21.</w:t>
      </w:r>
    </w:p>
    <w:p>
      <w:pPr>
        <w:pStyle w:val="Normal"/>
        <w:spacing w:lineRule="auto" w:line="276" w:before="120" w:after="120"/>
        <w:jc w:val="both"/>
        <w:rPr>
          <w:rFonts w:ascii="Liberation Sans Narrow" w:hAnsi="Liberation Sans Narrow" w:cs="Arial"/>
          <w:sz w:val="12"/>
          <w:szCs w:val="12"/>
        </w:rPr>
      </w:pPr>
      <w:r>
        <w:rPr>
          <w:rFonts w:cs="Arial" w:ascii="Liberation Sans Narrow" w:hAnsi="Liberation Sans Narrow"/>
          <w:sz w:val="12"/>
          <w:szCs w:val="12"/>
        </w:rPr>
      </w:r>
    </w:p>
    <w:p>
      <w:pPr>
        <w:pStyle w:val="Normal"/>
        <w:tabs>
          <w:tab w:val="clear" w:pos="708"/>
          <w:tab w:val="left" w:pos="1242" w:leader="none"/>
          <w:tab w:val="left" w:pos="2376" w:leader="none"/>
          <w:tab w:val="left" w:pos="3510" w:leader="none"/>
          <w:tab w:val="left" w:pos="4644" w:leader="none"/>
          <w:tab w:val="left" w:pos="5778" w:leader="none"/>
          <w:tab w:val="left" w:pos="6912" w:leader="none"/>
          <w:tab w:val="left" w:pos="8046" w:leader="none"/>
          <w:tab w:val="left" w:pos="9555" w:leader="none"/>
          <w:tab w:val="left" w:pos="10314" w:leader="none"/>
          <w:tab w:val="left" w:pos="11448" w:leader="none"/>
          <w:tab w:val="left" w:pos="12582" w:leader="none"/>
          <w:tab w:val="left" w:pos="13716" w:leader="none"/>
          <w:tab w:val="left" w:pos="14850" w:leader="none"/>
          <w:tab w:val="left" w:pos="15984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color w:val="000000"/>
          <w:kern w:val="2"/>
          <w:sz w:val="22"/>
          <w:szCs w:val="22"/>
          <w:lang w:eastAsia="zh-CN"/>
        </w:rPr>
        <w:t>CLÁUSULA DÉCIMA SÉTIMA – DA GESTÃO E FISCALIZAÇÃO</w:t>
      </w:r>
    </w:p>
    <w:p>
      <w:pPr>
        <w:pStyle w:val="Corpodotexto"/>
        <w:spacing w:before="120" w:after="120"/>
        <w:jc w:val="both"/>
        <w:rPr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color w:val="000000"/>
          <w:kern w:val="2"/>
          <w:sz w:val="22"/>
          <w:szCs w:val="22"/>
          <w:lang w:eastAsia="zh-CN"/>
        </w:rPr>
        <w:t xml:space="preserve">17.1. </w:t>
      </w:r>
      <w:r>
        <w:rPr>
          <w:rFonts w:eastAsia="Tahoma" w:cs="Liberation Sans Narrow" w:ascii="Liberation Sans Narrow" w:hAnsi="Liberation Sans Narrow"/>
          <w:color w:val="000000"/>
          <w:kern w:val="2"/>
          <w:sz w:val="22"/>
          <w:szCs w:val="22"/>
          <w:lang w:eastAsia="zh-CN"/>
        </w:rPr>
        <w:t>Fica designado como Gestor do presente contrato o Sr. Márcio Pavuna Azevedo e como Fiscal a Srtª. Jéssica Abreu Barreto de Souza, os quais deverão exercer ampla, irrestrita e permanente fiscalização da execução dos serviços contratados, nos termos e atribuições do Decreto nº 4248/2025 e do Art. 117, parágrafos 1º 2º e 3º da Lei 14.133/21 e as deste CONTRATO, sem prejuízo da CONTRATADA fiscalizar seus empregados, repostos ou subordinados.</w:t>
      </w:r>
    </w:p>
    <w:p>
      <w:pPr>
        <w:pStyle w:val="Corpodotexto"/>
        <w:spacing w:before="120" w:after="120"/>
        <w:jc w:val="both"/>
        <w:rPr>
          <w:rFonts w:ascii="Liberation Sans Narrow" w:hAnsi="Liberation Sans Narrow" w:eastAsia="Tahoma" w:cs="Liberation Sans Narrow"/>
          <w:color w:val="000000"/>
          <w:kern w:val="2"/>
          <w:sz w:val="12"/>
          <w:szCs w:val="12"/>
          <w:lang w:eastAsia="zh-CN"/>
        </w:rPr>
      </w:pPr>
      <w:r>
        <w:rPr>
          <w:rFonts w:eastAsia="Tahoma" w:cs="Liberation Sans Narrow" w:ascii="Liberation Sans Narrow" w:hAnsi="Liberation Sans Narrow"/>
          <w:color w:val="000000"/>
          <w:kern w:val="2"/>
          <w:sz w:val="12"/>
          <w:szCs w:val="12"/>
          <w:lang w:eastAsia="zh-CN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Calibri" w:cs="Arial" w:ascii="Arial" w:hAnsi="Arial"/>
          <w:b/>
          <w:bCs/>
          <w:color w:val="000000"/>
          <w:sz w:val="22"/>
          <w:szCs w:val="22"/>
          <w:lang w:eastAsia="pt-BR"/>
        </w:rPr>
        <w:t>CLÁUSULA DÉCIMA OITAVA – FORO (art. 92, §1º)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360" w:before="120" w:after="120"/>
        <w:jc w:val="both"/>
        <w:rPr>
          <w:sz w:val="22"/>
          <w:szCs w:val="22"/>
        </w:rPr>
      </w:pPr>
      <w:r>
        <w:rPr>
          <w:rFonts w:eastAsia="Tahoma" w:cs="Liberation Sans Narrow" w:ascii="Liberation Sans Narrow" w:hAnsi="Liberation Sans Narrow"/>
          <w:b/>
          <w:color w:val="000000"/>
          <w:kern w:val="2"/>
          <w:sz w:val="22"/>
          <w:szCs w:val="22"/>
          <w:lang w:eastAsia="zh-CN"/>
        </w:rPr>
        <w:t xml:space="preserve">18.1. </w:t>
      </w:r>
      <w:r>
        <w:rPr>
          <w:rFonts w:eastAsia="Tahoma" w:cs="Liberation Sans Narrow" w:ascii="Liberation Sans Narrow" w:hAnsi="Liberation Sans Narrow"/>
          <w:color w:val="000000"/>
          <w:kern w:val="2"/>
          <w:sz w:val="22"/>
          <w:szCs w:val="22"/>
          <w:lang w:eastAsia="zh-CN"/>
        </w:rPr>
        <w:t>Fica eleito o Foro da Comarca de Carapebus/Quissamã, com a exclusão de qualquer outro, por mais privilegiado que seja, para dirimir dúvidas e litígios decorrentes deste instrumento que não possam ser composto pela conciliação, conforme art. 92,§1º da Lei nº 14.133/2021.</w:t>
      </w:r>
    </w:p>
    <w:p>
      <w:pPr>
        <w:pStyle w:val="Corpodotexto"/>
        <w:ind w:hanging="0"/>
        <w:jc w:val="both"/>
        <w:rPr>
          <w:sz w:val="22"/>
          <w:szCs w:val="22"/>
        </w:rPr>
      </w:pPr>
      <w:r>
        <w:rPr>
          <w:rFonts w:eastAsia="Courier New" w:cs="Liberation Sans Narrow" w:ascii="Liberation Sans Narrow" w:hAnsi="Liberation Sans Narrow"/>
          <w:color w:val="000000"/>
          <w:kern w:val="2"/>
          <w:sz w:val="22"/>
          <w:szCs w:val="22"/>
          <w:lang w:eastAsia="zh-CN"/>
        </w:rPr>
        <w:t>E por estarem de acordo, assinam o presente CONTRATO em 03 (três) vias de igual teor e validade, junto as testemunhas, para que produza os efeitos esperados.</w:t>
      </w:r>
    </w:p>
    <w:p>
      <w:pPr>
        <w:pStyle w:val="Normal"/>
        <w:spacing w:lineRule="auto" w:line="360" w:before="0" w:after="120"/>
        <w:ind w:right="-15" w:hanging="0"/>
        <w:jc w:val="right"/>
        <w:rPr>
          <w:sz w:val="22"/>
          <w:szCs w:val="22"/>
        </w:rPr>
      </w:pPr>
      <w:r>
        <w:rPr/>
      </w:r>
    </w:p>
    <w:p>
      <w:pPr>
        <w:pStyle w:val="Normal"/>
        <w:spacing w:lineRule="auto" w:line="360" w:before="0" w:after="120"/>
        <w:ind w:right="-15" w:hanging="0"/>
        <w:jc w:val="right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Quissamã,  .......... de.......................................... de 2026.</w:t>
      </w:r>
    </w:p>
    <w:p>
      <w:pPr>
        <w:pStyle w:val="Normal"/>
        <w:spacing w:before="0" w:after="120"/>
        <w:jc w:val="center"/>
        <w:rPr>
          <w:rFonts w:ascii="Liberation Sans Narrow" w:hAnsi="Liberation Sans Narrow" w:cs="Arial"/>
          <w:bCs/>
          <w:sz w:val="22"/>
          <w:szCs w:val="22"/>
        </w:rPr>
      </w:pPr>
      <w:r>
        <w:rPr>
          <w:rFonts w:cs="Arial" w:ascii="Liberation Sans Narrow" w:hAnsi="Liberation Sans Narrow"/>
          <w:bCs/>
          <w:sz w:val="22"/>
          <w:szCs w:val="22"/>
        </w:rPr>
      </w:r>
    </w:p>
    <w:p>
      <w:pPr>
        <w:pStyle w:val="Normal"/>
        <w:spacing w:before="0" w:after="120"/>
        <w:jc w:val="center"/>
        <w:rPr>
          <w:sz w:val="22"/>
          <w:szCs w:val="22"/>
        </w:rPr>
      </w:pPr>
      <w:r>
        <w:rPr>
          <w:rFonts w:cs="Arial" w:ascii="Liberation Sans Narrow" w:hAnsi="Liberation Sans Narrow"/>
          <w:bCs/>
          <w:sz w:val="22"/>
          <w:szCs w:val="22"/>
        </w:rPr>
        <w:t>_________________________</w:t>
      </w:r>
    </w:p>
    <w:p>
      <w:pPr>
        <w:pStyle w:val="Normal"/>
        <w:spacing w:before="0" w:after="120"/>
        <w:jc w:val="center"/>
        <w:rPr>
          <w:sz w:val="22"/>
          <w:szCs w:val="22"/>
        </w:rPr>
      </w:pPr>
      <w:r>
        <w:rPr>
          <w:rFonts w:cs="Arial" w:ascii="Liberation Sans Narrow" w:hAnsi="Liberation Sans Narrow"/>
          <w:bCs/>
          <w:sz w:val="22"/>
          <w:szCs w:val="22"/>
        </w:rPr>
        <w:t>Representante legal do CONTRATANTE</w:t>
      </w:r>
    </w:p>
    <w:p>
      <w:pPr>
        <w:pStyle w:val="Normal"/>
        <w:spacing w:before="0" w:after="120"/>
        <w:jc w:val="center"/>
        <w:rPr>
          <w:rFonts w:ascii="Liberation Sans Narrow" w:hAnsi="Liberation Sans Narrow" w:cs="Arial"/>
          <w:bCs/>
          <w:sz w:val="22"/>
          <w:szCs w:val="22"/>
        </w:rPr>
      </w:pPr>
      <w:r>
        <w:rPr>
          <w:rFonts w:cs="Arial" w:ascii="Liberation Sans Narrow" w:hAnsi="Liberation Sans Narrow"/>
          <w:bCs/>
          <w:sz w:val="22"/>
          <w:szCs w:val="22"/>
        </w:rPr>
      </w:r>
    </w:p>
    <w:p>
      <w:pPr>
        <w:pStyle w:val="Normal"/>
        <w:spacing w:before="0" w:after="120"/>
        <w:jc w:val="center"/>
        <w:rPr>
          <w:sz w:val="22"/>
          <w:szCs w:val="22"/>
        </w:rPr>
      </w:pPr>
      <w:r>
        <w:rPr>
          <w:rFonts w:cs="Arial" w:ascii="Liberation Sans Narrow" w:hAnsi="Liberation Sans Narrow"/>
          <w:sz w:val="22"/>
          <w:szCs w:val="22"/>
        </w:rPr>
        <w:t>_________________________</w:t>
      </w:r>
    </w:p>
    <w:p>
      <w:pPr>
        <w:pStyle w:val="Normal"/>
        <w:spacing w:before="0" w:after="120"/>
        <w:jc w:val="center"/>
        <w:rPr>
          <w:sz w:val="22"/>
          <w:szCs w:val="22"/>
        </w:rPr>
      </w:pPr>
      <w:r>
        <w:rPr>
          <w:rFonts w:cs="Arial" w:ascii="Liberation Sans Narrow" w:hAnsi="Liberation Sans Narrow"/>
          <w:bCs/>
          <w:sz w:val="22"/>
          <w:szCs w:val="22"/>
        </w:rPr>
        <w:t>Representante</w:t>
      </w:r>
      <w:r>
        <w:rPr>
          <w:rFonts w:cs="Arial" w:ascii="Liberation Sans Narrow" w:hAnsi="Liberation Sans Narrow"/>
          <w:sz w:val="22"/>
          <w:szCs w:val="22"/>
        </w:rPr>
        <w:t xml:space="preserve"> legal do CONTRATADO</w:t>
      </w:r>
    </w:p>
    <w:p>
      <w:pPr>
        <w:pStyle w:val="Normal"/>
        <w:spacing w:before="0" w:after="120"/>
        <w:jc w:val="both"/>
        <w:rPr>
          <w:rFonts w:ascii="Liberation Sans Narrow" w:hAnsi="Liberation Sans Narrow" w:cs="Arial"/>
          <w:i/>
          <w:i/>
          <w:iCs/>
          <w:sz w:val="22"/>
          <w:szCs w:val="22"/>
        </w:rPr>
      </w:pPr>
      <w:r>
        <w:rPr>
          <w:rFonts w:cs="Arial" w:ascii="Liberation Sans Narrow" w:hAnsi="Liberation Sans Narrow"/>
          <w:i/>
          <w:iCs/>
          <w:sz w:val="22"/>
          <w:szCs w:val="22"/>
        </w:rPr>
      </w:r>
    </w:p>
    <w:p>
      <w:pPr>
        <w:pStyle w:val="Normal"/>
        <w:spacing w:before="0" w:after="120"/>
        <w:jc w:val="both"/>
        <w:rPr>
          <w:rFonts w:ascii="Liberation Sans Narrow" w:hAnsi="Liberation Sans Narrow" w:cs="Arial"/>
          <w:i/>
          <w:i/>
          <w:iCs/>
          <w:sz w:val="22"/>
          <w:szCs w:val="22"/>
        </w:rPr>
      </w:pPr>
      <w:r>
        <w:rPr>
          <w:rFonts w:cs="Arial" w:ascii="Liberation Sans Narrow" w:hAnsi="Liberation Sans Narrow"/>
          <w:i/>
          <w:iCs/>
          <w:sz w:val="22"/>
          <w:szCs w:val="22"/>
        </w:rPr>
      </w:r>
    </w:p>
    <w:p>
      <w:pPr>
        <w:pStyle w:val="Normal"/>
        <w:spacing w:before="0" w:after="120"/>
        <w:jc w:val="both"/>
        <w:rPr>
          <w:rFonts w:ascii="Liberation Sans Narrow" w:hAnsi="Liberation Sans Narrow" w:cs="Arial"/>
          <w:i/>
          <w:i/>
          <w:iCs/>
          <w:sz w:val="22"/>
          <w:szCs w:val="22"/>
        </w:rPr>
      </w:pPr>
      <w:r>
        <w:rPr>
          <w:rFonts w:cs="Arial" w:ascii="Liberation Sans Narrow" w:hAnsi="Liberation Sans Narrow"/>
          <w:i/>
          <w:iCs/>
          <w:sz w:val="22"/>
          <w:szCs w:val="22"/>
        </w:rPr>
      </w:r>
    </w:p>
    <w:p>
      <w:pPr>
        <w:pStyle w:val="Normal"/>
        <w:spacing w:before="0" w:after="120"/>
        <w:jc w:val="both"/>
        <w:rPr>
          <w:sz w:val="22"/>
          <w:szCs w:val="22"/>
        </w:rPr>
      </w:pP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TESTEMUNHAS:</w:t>
      </w:r>
    </w:p>
    <w:p>
      <w:pPr>
        <w:pStyle w:val="Normal"/>
        <w:rPr>
          <w:rFonts w:ascii="Liberation Sans Narrow" w:hAnsi="Liberation Sans Narrow" w:cs="Arial"/>
          <w:i/>
          <w:i/>
          <w:iCs/>
          <w:color w:val="000000"/>
          <w:sz w:val="22"/>
          <w:szCs w:val="22"/>
        </w:rPr>
      </w:pP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1-</w:t>
      </w:r>
    </w:p>
    <w:p>
      <w:pPr>
        <w:pStyle w:val="Normal"/>
        <w:rPr>
          <w:rFonts w:ascii="Liberation Sans Narrow" w:hAnsi="Liberation Sans Narrow" w:cs="Arial"/>
          <w:i/>
          <w:i/>
          <w:iCs/>
          <w:sz w:val="22"/>
          <w:szCs w:val="22"/>
        </w:rPr>
      </w:pPr>
      <w:r>
        <w:rPr>
          <w:rFonts w:cs="Arial" w:ascii="Liberation Sans Narrow" w:hAnsi="Liberation Sans Narrow"/>
          <w:i/>
          <w:iCs/>
          <w:sz w:val="22"/>
          <w:szCs w:val="22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2"/>
          <w:szCs w:val="22"/>
        </w:rPr>
      </w:pPr>
      <w:r>
        <w:rPr>
          <w:rFonts w:cs="Arial" w:ascii="Liberation Sans Narrow" w:hAnsi="Liberation Sans Narrow"/>
          <w:i/>
          <w:iCs/>
          <w:color w:val="000000"/>
          <w:sz w:val="22"/>
          <w:szCs w:val="22"/>
        </w:rPr>
        <w:t>2-</w:t>
      </w:r>
    </w:p>
    <w:p>
      <w:pPr>
        <w:pStyle w:val="Normal"/>
        <w:jc w:val="center"/>
        <w:rPr>
          <w:rFonts w:ascii="Liberation Sans Narrow" w:hAnsi="Liberation Sans Narrow"/>
          <w:b/>
          <w:b/>
          <w:bCs/>
          <w:sz w:val="22"/>
          <w:szCs w:val="22"/>
        </w:rPr>
      </w:pPr>
      <w:r>
        <w:rPr>
          <w:rFonts w:ascii="Liberation Sans Narrow" w:hAnsi="Liberation Sans Narrow"/>
          <w:b/>
          <w:bCs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ascii="Liberation Sans Narrow" w:hAnsi="Liberation Sans Narrow"/>
          <w:b/>
          <w:bCs/>
          <w:sz w:val="22"/>
          <w:szCs w:val="22"/>
        </w:rPr>
        <w:t>AUTORIZAÇÃO DE INÍCIO DE PRESTAÇÃO DE SERVIÇO</w:t>
      </w:r>
    </w:p>
    <w:p>
      <w:pPr>
        <w:pStyle w:val="Normal"/>
        <w:jc w:val="center"/>
        <w:rPr>
          <w:sz w:val="22"/>
          <w:szCs w:val="22"/>
        </w:rPr>
      </w:pPr>
      <w:r>
        <w:rPr/>
      </w:r>
    </w:p>
    <w:p>
      <w:pPr>
        <w:pStyle w:val="Normal"/>
        <w:spacing w:lineRule="auto" w:line="240"/>
        <w:jc w:val="left"/>
        <w:rPr>
          <w:sz w:val="22"/>
          <w:szCs w:val="22"/>
        </w:rPr>
      </w:pPr>
      <w:r>
        <w:rPr>
          <w:rFonts w:ascii="Liberation Sans Narrow" w:hAnsi="Liberation Sans Narrow"/>
          <w:b w:val="false"/>
          <w:bCs w:val="false"/>
          <w:sz w:val="22"/>
          <w:szCs w:val="22"/>
        </w:rPr>
        <w:t>À</w:t>
      </w:r>
    </w:p>
    <w:p>
      <w:pPr>
        <w:pStyle w:val="Normal"/>
        <w:bidi w:val="0"/>
        <w:spacing w:lineRule="auto" w:line="24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/>
          <w:bCs/>
          <w:i w:val="false"/>
          <w:iCs w:val="false"/>
          <w:color w:val="auto"/>
          <w:sz w:val="22"/>
          <w:szCs w:val="22"/>
          <w:lang w:val="pt-BR" w:eastAsia="zh-CN" w:bidi="ar-SA"/>
        </w:rPr>
        <w:t>EMPRESA ____________________________________________________________________</w:t>
      </w:r>
    </w:p>
    <w:p>
      <w:pPr>
        <w:pStyle w:val="Normal"/>
        <w:bidi w:val="0"/>
        <w:spacing w:lineRule="auto" w:line="24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Sito à Rua ____________________________________________________________________</w:t>
      </w:r>
    </w:p>
    <w:p>
      <w:pPr>
        <w:pStyle w:val="Normal"/>
        <w:bidi w:val="0"/>
        <w:spacing w:lineRule="auto" w:line="24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CNPJ: ______________________________________</w:t>
      </w:r>
    </w:p>
    <w:p>
      <w:pPr>
        <w:pStyle w:val="Normal"/>
        <w:bidi w:val="0"/>
        <w:spacing w:lineRule="auto" w:line="240"/>
        <w:jc w:val="both"/>
        <w:rPr>
          <w:rFonts w:ascii="Liberation Sans Narrow" w:hAnsi="Liberation Sans Narrow" w:eastAsia="Arial" w:cs="Arial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  <w:lang w:val="pt-BR" w:eastAsia="zh-CN" w:bidi="ar-SA"/>
        </w:rPr>
      </w:pPr>
      <w:r>
        <w:rPr>
          <w:rFonts w:eastAsia="Arial" w:cs="Arial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</w:r>
    </w:p>
    <w:p>
      <w:pPr>
        <w:pStyle w:val="Normal"/>
        <w:bidi w:val="0"/>
        <w:spacing w:lineRule="auto" w:line="240"/>
        <w:jc w:val="both"/>
        <w:rPr>
          <w:sz w:val="22"/>
          <w:szCs w:val="22"/>
        </w:rPr>
      </w:pPr>
      <w:r>
        <w:rPr>
          <w:rFonts w:eastAsia="Arial" w:cs="Arial" w:ascii="Liberation Sans Narrow" w:hAnsi="Liberation Sans Narrow"/>
          <w:b/>
          <w:bCs/>
          <w:i w:val="false"/>
          <w:iCs w:val="false"/>
          <w:color w:val="auto"/>
          <w:sz w:val="22"/>
          <w:szCs w:val="22"/>
          <w:lang w:val="pt-BR" w:eastAsia="zh-CN" w:bidi="ar-SA"/>
        </w:rPr>
        <w:t>Representante Legal:</w:t>
      </w:r>
      <w:r>
        <w:rPr>
          <w:rFonts w:eastAsia="Arial" w:cs="Arial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 xml:space="preserve"> </w:t>
      </w:r>
    </w:p>
    <w:p>
      <w:pPr>
        <w:pStyle w:val="Normal"/>
        <w:bidi w:val="0"/>
        <w:spacing w:lineRule="auto" w:line="276"/>
        <w:jc w:val="both"/>
        <w:rPr>
          <w:sz w:val="22"/>
          <w:szCs w:val="22"/>
        </w:rPr>
      </w:pPr>
      <w:r>
        <w:rPr>
          <w:rFonts w:cs="Liberation Sans Narrow" w:ascii="Liberation Sans Narrow" w:hAnsi="Liberation Sans Narrow"/>
          <w:b w:val="false"/>
          <w:bCs w:val="false"/>
          <w:sz w:val="22"/>
          <w:szCs w:val="22"/>
        </w:rPr>
        <w:t xml:space="preserve"> </w:t>
      </w:r>
      <w:r>
        <w:rPr>
          <w:rFonts w:cs="Liberation Sans Narrow" w:ascii="Liberation Sans Narrow" w:hAnsi="Liberation Sans Narrow"/>
          <w:b w:val="false"/>
          <w:bCs w:val="false"/>
          <w:sz w:val="22"/>
          <w:szCs w:val="22"/>
        </w:rPr>
        <w:t xml:space="preserve">Fica esta empresa autorizada a dar início à prestação do serviço em______ de ___________ de 2026 devendo observar as especificações estabelecidas no Termo de Referência – processo nº 006    </w:t>
      </w:r>
      <w:r>
        <w:rPr>
          <w:rFonts w:cs="Liberation Sans Narrow" w:ascii="Liberation Sans Narrow" w:hAnsi="Liberation Sans Narrow"/>
          <w:b/>
          <w:bCs/>
          <w:sz w:val="22"/>
          <w:szCs w:val="22"/>
        </w:rPr>
        <w:t>/2026</w:t>
      </w:r>
      <w:r>
        <w:rPr>
          <w:rFonts w:cs="Liberation Sans Narrow" w:ascii="Liberation Sans Narrow" w:hAnsi="Liberation Sans Narrow"/>
          <w:b w:val="false"/>
          <w:bCs w:val="false"/>
          <w:sz w:val="22"/>
          <w:szCs w:val="22"/>
        </w:rPr>
        <w:t>.</w:t>
      </w:r>
    </w:p>
    <w:p>
      <w:pPr>
        <w:pStyle w:val="Normal"/>
        <w:bidi w:val="0"/>
        <w:spacing w:lineRule="auto" w:line="276" w:before="57" w:after="57"/>
        <w:jc w:val="both"/>
        <w:rPr>
          <w:rFonts w:ascii="Liberation Sans Narrow" w:hAnsi="Liberation Sans Narrow" w:cs="Liberation Sans Narrow"/>
          <w:b w:val="false"/>
          <w:b w:val="false"/>
          <w:bCs w:val="false"/>
          <w:sz w:val="22"/>
          <w:szCs w:val="22"/>
        </w:rPr>
      </w:pPr>
      <w:r>
        <w:rPr>
          <w:rFonts w:cs="Liberation Sans Narrow" w:ascii="Liberation Sans Narrow" w:hAnsi="Liberation Sans Narrow"/>
          <w:b w:val="false"/>
          <w:bCs w:val="false"/>
          <w:sz w:val="22"/>
          <w:szCs w:val="22"/>
        </w:rPr>
      </w:r>
    </w:p>
    <w:p>
      <w:pPr>
        <w:pStyle w:val="Corpodotexto"/>
        <w:jc w:val="both"/>
        <w:rPr>
          <w:sz w:val="22"/>
          <w:szCs w:val="22"/>
        </w:rPr>
      </w:pPr>
      <w:r>
        <w:rPr>
          <w:rFonts w:cs="Liberation Sans Narrow"/>
          <w:sz w:val="22"/>
          <w:szCs w:val="22"/>
        </w:rPr>
        <w:tab/>
      </w:r>
      <w:r>
        <w:rPr>
          <w:rFonts w:cs="Liberation Sans Narrow" w:ascii="Liberation Sans Narrow" w:hAnsi="Liberation Sans Narrow"/>
          <w:sz w:val="22"/>
          <w:szCs w:val="22"/>
        </w:rPr>
        <w:t xml:space="preserve">Fica responsável pela fiscalização os servidores ______________________________ </w:t>
      </w:r>
      <w:r>
        <w:rPr>
          <w:rFonts w:cs="Liberation Sans Narrow" w:ascii="Liberation Sans Narrow" w:hAnsi="Liberation Sans Narrow"/>
          <w:b/>
          <w:bCs/>
          <w:sz w:val="22"/>
          <w:szCs w:val="22"/>
        </w:rPr>
        <w:t xml:space="preserve">Matr. Nº_____ </w:t>
      </w:r>
      <w:r>
        <w:rPr>
          <w:rFonts w:cs="Liberation Sans Narrow" w:ascii="Liberation Sans Narrow" w:hAnsi="Liberation Sans Narrow"/>
          <w:sz w:val="22"/>
          <w:szCs w:val="22"/>
        </w:rPr>
        <w:t>e______________________________</w:t>
      </w:r>
      <w:r>
        <w:rPr>
          <w:rFonts w:cs="Liberation Sans Narrow" w:ascii="Liberation Sans Narrow" w:hAnsi="Liberation Sans Narrow"/>
          <w:b/>
          <w:bCs/>
          <w:sz w:val="22"/>
          <w:szCs w:val="22"/>
        </w:rPr>
        <w:t xml:space="preserve">Matr. Nº______ </w:t>
      </w:r>
      <w:r>
        <w:rPr>
          <w:rFonts w:cs="Liberation Sans Narrow" w:ascii="Liberation Sans Narrow" w:hAnsi="Liberation Sans Narrow"/>
          <w:sz w:val="22"/>
          <w:szCs w:val="22"/>
        </w:rPr>
        <w:t xml:space="preserve">e como gestora servidora __________________________________ </w:t>
      </w:r>
      <w:r>
        <w:rPr>
          <w:rFonts w:cs="Liberation Sans Narrow" w:ascii="Liberation Sans Narrow" w:hAnsi="Liberation Sans Narrow"/>
          <w:b/>
          <w:bCs/>
          <w:sz w:val="22"/>
          <w:szCs w:val="22"/>
        </w:rPr>
        <w:t>Matr. Nº______.</w:t>
      </w:r>
    </w:p>
    <w:p>
      <w:pPr>
        <w:pStyle w:val="Normal"/>
        <w:bidi w:val="0"/>
        <w:spacing w:lineRule="auto" w:line="240" w:before="57" w:after="57"/>
        <w:jc w:val="right"/>
        <w:rPr>
          <w:rFonts w:ascii="Liberation Sans Narrow" w:hAnsi="Liberation Sans Narrow" w:cs="Liberation Sans Narrow"/>
          <w:b/>
          <w:b/>
          <w:bCs/>
          <w:sz w:val="22"/>
          <w:szCs w:val="22"/>
        </w:rPr>
      </w:pPr>
      <w:r>
        <w:rPr>
          <w:rFonts w:cs="Liberation Sans Narrow" w:ascii="Liberation Sans Narrow" w:hAnsi="Liberation Sans Narrow"/>
          <w:b/>
          <w:bCs/>
          <w:sz w:val="22"/>
          <w:szCs w:val="22"/>
        </w:rPr>
      </w:r>
    </w:p>
    <w:p>
      <w:pPr>
        <w:pStyle w:val="Normal"/>
        <w:bidi w:val="0"/>
        <w:spacing w:lineRule="auto" w:line="240" w:before="57" w:after="57"/>
        <w:jc w:val="right"/>
        <w:rPr>
          <w:rFonts w:ascii="Liberation Sans Narrow" w:hAnsi="Liberation Sans Narrow" w:cs="Liberation Sans Narrow"/>
          <w:b/>
          <w:b/>
          <w:bCs/>
          <w:sz w:val="22"/>
          <w:szCs w:val="22"/>
        </w:rPr>
      </w:pPr>
      <w:r>
        <w:rPr>
          <w:rFonts w:cs="Liberation Sans Narrow" w:ascii="Liberation Sans Narrow" w:hAnsi="Liberation Sans Narrow"/>
          <w:b/>
          <w:bCs/>
          <w:sz w:val="22"/>
          <w:szCs w:val="22"/>
        </w:rPr>
      </w:r>
    </w:p>
    <w:p>
      <w:pPr>
        <w:pStyle w:val="Normal"/>
        <w:bidi w:val="0"/>
        <w:spacing w:lineRule="auto" w:line="240"/>
        <w:jc w:val="right"/>
        <w:rPr>
          <w:sz w:val="22"/>
          <w:szCs w:val="22"/>
        </w:rPr>
      </w:pPr>
      <w:r>
        <w:rPr>
          <w:rFonts w:cs="Liberation Sans Narrow" w:ascii="Liberation Sans Narrow" w:hAnsi="Liberation Sans Narrow"/>
          <w:b w:val="false"/>
          <w:bCs w:val="false"/>
          <w:sz w:val="22"/>
          <w:szCs w:val="22"/>
        </w:rPr>
        <w:t>Quissamã_____ de _________de 2026.</w:t>
      </w:r>
    </w:p>
    <w:p>
      <w:pPr>
        <w:pStyle w:val="Normal"/>
        <w:bidi w:val="0"/>
        <w:spacing w:lineRule="auto" w:line="240"/>
        <w:jc w:val="right"/>
        <w:rPr>
          <w:rFonts w:ascii="Liberation Sans Narrow" w:hAnsi="Liberation Sans Narrow" w:cs="Liberation Sans Narrow"/>
          <w:b w:val="false"/>
          <w:b w:val="false"/>
          <w:bCs w:val="false"/>
          <w:sz w:val="22"/>
          <w:szCs w:val="22"/>
        </w:rPr>
      </w:pPr>
      <w:r>
        <w:rPr>
          <w:rFonts w:cs="Liberation Sans Narrow" w:ascii="Liberation Serif" w:hAnsi="Liberation Serif"/>
          <w:b w:val="false"/>
          <w:bCs w:val="false"/>
          <w:sz w:val="22"/>
          <w:szCs w:val="22"/>
        </w:rPr>
      </w:r>
    </w:p>
    <w:p>
      <w:pPr>
        <w:pStyle w:val="Normal"/>
        <w:bidi w:val="0"/>
        <w:spacing w:lineRule="auto" w:line="240"/>
        <w:jc w:val="center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 xml:space="preserve">INSTITUTO DE PREVIDÊNCIA </w:t>
      </w:r>
    </w:p>
    <w:p>
      <w:pPr>
        <w:pStyle w:val="Normal"/>
        <w:bidi w:val="0"/>
        <w:spacing w:lineRule="auto" w:line="240"/>
        <w:jc w:val="center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DOS SERVIDORES PÚBLICOS DE QUISSAMÃ</w:t>
      </w:r>
    </w:p>
    <w:p>
      <w:pPr>
        <w:pStyle w:val="Normal"/>
        <w:bidi w:val="0"/>
        <w:spacing w:lineRule="auto" w:line="240"/>
        <w:jc w:val="center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/>
          <w:bCs/>
          <w:i w:val="false"/>
          <w:iCs w:val="false"/>
          <w:color w:val="auto"/>
          <w:sz w:val="22"/>
          <w:szCs w:val="22"/>
          <w:lang w:val="pt-BR" w:eastAsia="zh-CN" w:bidi="ar-SA"/>
        </w:rPr>
        <w:t>Fabiano Barreto Gomes</w:t>
      </w:r>
    </w:p>
    <w:p>
      <w:pPr>
        <w:pStyle w:val="Normal"/>
        <w:bidi w:val="0"/>
        <w:spacing w:lineRule="auto" w:line="240"/>
        <w:jc w:val="center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Presidente do IPMQ</w:t>
      </w:r>
    </w:p>
    <w:p>
      <w:pPr>
        <w:pStyle w:val="Normal"/>
        <w:bidi w:val="0"/>
        <w:spacing w:lineRule="auto" w:line="240"/>
        <w:jc w:val="center"/>
        <w:rPr>
          <w:rFonts w:ascii="Liberation Sans Narrow" w:hAnsi="Liberation Sans Narrow" w:eastAsia="Arial" w:cs="Liberation Sans Narrow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  <w:lang w:val="pt-BR" w:eastAsia="zh-CN" w:bidi="ar-SA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</w:r>
    </w:p>
    <w:p>
      <w:pPr>
        <w:pStyle w:val="Normal"/>
        <w:bidi w:val="0"/>
        <w:spacing w:lineRule="auto" w:line="240"/>
        <w:jc w:val="left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Recebido em       /        /2026.</w:t>
      </w:r>
    </w:p>
    <w:p>
      <w:pPr>
        <w:pStyle w:val="Normal"/>
        <w:bidi w:val="0"/>
        <w:spacing w:lineRule="auto" w:line="240"/>
        <w:jc w:val="left"/>
        <w:rPr>
          <w:sz w:val="22"/>
          <w:szCs w:val="22"/>
        </w:rPr>
      </w:pPr>
      <w:r>
        <w:rPr/>
      </w:r>
    </w:p>
    <w:p>
      <w:pPr>
        <w:pStyle w:val="Normal"/>
        <w:bidi w:val="0"/>
        <w:spacing w:lineRule="auto" w:line="240"/>
        <w:jc w:val="left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________________________________________</w:t>
      </w:r>
    </w:p>
    <w:p>
      <w:pPr>
        <w:pStyle w:val="Normal"/>
        <w:bidi w:val="0"/>
        <w:spacing w:lineRule="auto" w:line="240"/>
        <w:jc w:val="left"/>
        <w:rPr>
          <w:rFonts w:ascii="Liberation Sans Narrow" w:hAnsi="Liberation Sans Narrow" w:eastAsia="Arial" w:cs="Liberation Sans Narrow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  <w:lang w:val="pt-BR" w:eastAsia="zh-CN" w:bidi="ar-SA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</w:r>
    </w:p>
    <w:p>
      <w:pPr>
        <w:pStyle w:val="Normal"/>
        <w:bidi w:val="0"/>
        <w:spacing w:lineRule="auto" w:line="240"/>
        <w:jc w:val="left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/>
          <w:bCs/>
          <w:i w:val="false"/>
          <w:iCs w:val="false"/>
          <w:color w:val="auto"/>
          <w:sz w:val="22"/>
          <w:szCs w:val="22"/>
          <w:lang w:val="pt-BR" w:eastAsia="zh-CN" w:bidi="ar-SA"/>
        </w:rPr>
        <w:t xml:space="preserve">Fiscal do contrato </w:t>
      </w: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 xml:space="preserve">_______________________________ </w:t>
      </w:r>
    </w:p>
    <w:p>
      <w:pPr>
        <w:pStyle w:val="Normal"/>
        <w:bidi w:val="0"/>
        <w:spacing w:lineRule="auto" w:line="240"/>
        <w:jc w:val="left"/>
        <w:rPr>
          <w:rFonts w:ascii="Liberation Sans Narrow" w:hAnsi="Liberation Sans Narrow" w:eastAsia="Arial" w:cs="Liberation Sans Narrow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  <w:lang w:val="pt-BR" w:eastAsia="zh-CN" w:bidi="ar-SA"/>
        </w:rPr>
      </w:pP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</w:r>
    </w:p>
    <w:p>
      <w:pPr>
        <w:pStyle w:val="Normal"/>
        <w:widowControl/>
        <w:bidi w:val="0"/>
        <w:spacing w:lineRule="auto" w:line="240" w:before="0" w:after="160"/>
        <w:jc w:val="left"/>
        <w:rPr>
          <w:sz w:val="22"/>
          <w:szCs w:val="22"/>
        </w:rPr>
      </w:pPr>
      <w:r>
        <w:rPr>
          <w:rFonts w:eastAsia="Arial" w:cs="Liberation Sans Narrow" w:ascii="Liberation Sans Narrow" w:hAnsi="Liberation Sans Narrow"/>
          <w:b/>
          <w:bCs/>
          <w:i/>
          <w:iCs/>
          <w:color w:val="auto"/>
          <w:sz w:val="22"/>
          <w:szCs w:val="22"/>
          <w:lang w:val="pt-BR" w:eastAsia="zh-CN" w:bidi="ar-SA"/>
        </w:rPr>
        <w:t xml:space="preserve">Gestor do contrato </w:t>
      </w:r>
      <w:r>
        <w:rPr>
          <w:rFonts w:eastAsia="Arial" w:cs="Liberation Sans Narrow" w:ascii="Liberation Sans Narrow" w:hAnsi="Liberation Sans Narrow"/>
          <w:b w:val="false"/>
          <w:bCs w:val="false"/>
          <w:i w:val="false"/>
          <w:iCs w:val="false"/>
          <w:color w:val="auto"/>
          <w:sz w:val="22"/>
          <w:szCs w:val="22"/>
          <w:lang w:val="pt-BR" w:eastAsia="zh-CN" w:bidi="ar-SA"/>
        </w:rPr>
        <w:t>_______________________________</w:t>
      </w:r>
    </w:p>
    <w:sectPr>
      <w:footerReference w:type="default" r:id="rId3"/>
      <w:type w:val="nextPage"/>
      <w:pgSz w:w="11906" w:h="16838"/>
      <w:pgMar w:left="1701" w:right="1701" w:header="0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 Narrow">
    <w:charset w:val="00"/>
    <w:family w:val="roman"/>
    <w:pitch w:val="variable"/>
  </w:font>
  <w:font w:name="Cambr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Liberation Sans Narrow" w:hAnsi="Liberation Sans Narrow"/>
        <w:sz w:val="24"/>
        <w:szCs w:val="24"/>
      </w:rPr>
    </w:pPr>
    <w:r>
      <w:rPr>
        <w:rFonts w:ascii="Liberation Sans Narrow" w:hAnsi="Liberation Sans Narrow"/>
        <w:sz w:val="24"/>
        <w:szCs w:val="24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"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false"/>
        <w:b w:val="fals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sz w:val="20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 w:val="20"/>
        <w:i w:val="fals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c671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 w:customStyle="1">
    <w:name w:val="Heading 1"/>
    <w:basedOn w:val="Normal"/>
    <w:next w:val="Normal"/>
    <w:link w:val="Ttulo1Char"/>
    <w:uiPriority w:val="9"/>
    <w:qFormat/>
    <w:rsid w:val="00d96ec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397ef2"/>
    <w:rPr/>
  </w:style>
  <w:style w:type="character" w:styleId="RodapChar" w:customStyle="1">
    <w:name w:val="Rodapé Char"/>
    <w:basedOn w:val="DefaultParagraphFont"/>
    <w:uiPriority w:val="99"/>
    <w:qFormat/>
    <w:rsid w:val="00397ef2"/>
    <w:rPr/>
  </w:style>
  <w:style w:type="character" w:styleId="GradeColoridanfase1Char" w:customStyle="1">
    <w:name w:val="Grade Colorida - Ênfase 1 Char"/>
    <w:uiPriority w:val="29"/>
    <w:qFormat/>
    <w:rsid w:val="00d96ec9"/>
    <w:rPr>
      <w:rFonts w:ascii="Arial" w:hAnsi="Arial" w:eastAsia="Calibri" w:cs="Times New Roman"/>
      <w:i/>
      <w:iCs/>
      <w:color w:val="000000"/>
      <w:sz w:val="20"/>
      <w:szCs w:val="24"/>
      <w:shd w:fill="FFFFCC" w:val="clear"/>
    </w:rPr>
  </w:style>
  <w:style w:type="character" w:styleId="Nivel01TituloChar" w:customStyle="1">
    <w:name w:val="Nivel_01_Titulo Char"/>
    <w:basedOn w:val="Ttulo1Char"/>
    <w:link w:val="Nivel01Titulo"/>
    <w:qFormat/>
    <w:rsid w:val="00d96ec9"/>
    <w:rPr>
      <w:rFonts w:ascii="Arial" w:hAnsi="Arial" w:eastAsia="" w:cs="Times New Roman" w:eastAsiaTheme="majorEastAsia"/>
      <w:b/>
      <w:bCs/>
      <w:color w:val="2F5496" w:themeColor="accent1" w:themeShade="bf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d96ec9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extodecomentrioChar" w:customStyle="1">
    <w:name w:val="Texto de comentário Char"/>
    <w:basedOn w:val="DefaultParagraphFont"/>
    <w:uiPriority w:val="99"/>
    <w:qFormat/>
    <w:rsid w:val="006e7af1"/>
    <w:rPr>
      <w:sz w:val="20"/>
      <w:szCs w:val="20"/>
    </w:rPr>
  </w:style>
  <w:style w:type="character" w:styleId="CitaoChar" w:customStyle="1">
    <w:name w:val="Citação Char"/>
    <w:basedOn w:val="DefaultParagraphFont"/>
    <w:qFormat/>
    <w:rsid w:val="006e7af1"/>
    <w:rPr>
      <w:rFonts w:ascii="Ecofont_Spranq_eco_Sans" w:hAnsi="Ecofont_Spranq_eco_Sans" w:eastAsia="Calibri" w:cs="Tahoma"/>
      <w:i/>
      <w:iCs/>
      <w:color w:val="000000"/>
      <w:sz w:val="20"/>
      <w:szCs w:val="24"/>
      <w:shd w:fill="FFFFCC" w:val="clear"/>
    </w:rPr>
  </w:style>
  <w:style w:type="character" w:styleId="Annotationreference">
    <w:name w:val="annotation reference"/>
    <w:basedOn w:val="DefaultParagraphFont"/>
    <w:uiPriority w:val="99"/>
    <w:unhideWhenUsed/>
    <w:qFormat/>
    <w:rsid w:val="006e7af1"/>
    <w:rPr>
      <w:sz w:val="16"/>
      <w:szCs w:val="16"/>
    </w:rPr>
  </w:style>
  <w:style w:type="character" w:styleId="Citao2Char" w:customStyle="1">
    <w:name w:val="citação 2 Char"/>
    <w:basedOn w:val="CitaoChar"/>
    <w:qFormat/>
    <w:rsid w:val="00791789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192fa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192fa4"/>
    <w:rPr>
      <w:rFonts w:ascii="Ecofont_Spranq_eco_Sans" w:hAnsi="Ecofont_Spranq_eco_Sans" w:eastAsia="Arial Unicode MS" w:cs="Times New Roman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sid w:val="00fc5048"/>
    <w:rPr>
      <w:b/>
      <w:bCs/>
      <w:sz w:val="20"/>
      <w:szCs w:val="20"/>
    </w:rPr>
  </w:style>
  <w:style w:type="character" w:styleId="LinkdaInternet" w:customStyle="1">
    <w:name w:val="Link da Internet"/>
    <w:basedOn w:val="DefaultParagraphFont"/>
    <w:uiPriority w:val="99"/>
    <w:unhideWhenUsed/>
    <w:qFormat/>
    <w:rsid w:val="004b3e88"/>
    <w:rPr>
      <w:color w:val="0563C1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4b3e88"/>
    <w:rPr>
      <w:color w:val="605E5C"/>
      <w:shd w:fill="E1DFDD" w:val="clear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7d1c84"/>
    <w:rPr>
      <w:rFonts w:ascii="Segoe UI" w:hAnsi="Segoe UI" w:cs="Segoe UI"/>
      <w:sz w:val="18"/>
      <w:szCs w:val="18"/>
    </w:rPr>
  </w:style>
  <w:style w:type="character" w:styleId="Nvel2OpcionalChar" w:customStyle="1">
    <w:name w:val="Nível 2 Opcional Char"/>
    <w:basedOn w:val="DefaultParagraphFont"/>
    <w:link w:val="Nvel2Opcional"/>
    <w:qFormat/>
    <w:locked/>
    <w:rsid w:val="00921e42"/>
    <w:rPr>
      <w:rFonts w:ascii="Arial" w:hAnsi="Arial" w:cs="Arial"/>
      <w:i/>
      <w:color w:val="FF0000"/>
    </w:rPr>
  </w:style>
  <w:style w:type="character" w:styleId="Nvel3OpcionalChar" w:customStyle="1">
    <w:name w:val="Nível 3 Opcional Char"/>
    <w:basedOn w:val="DefaultParagraphFont"/>
    <w:link w:val="Nvel3Opcional"/>
    <w:qFormat/>
    <w:locked/>
    <w:rsid w:val="00921e42"/>
    <w:rPr>
      <w:rFonts w:ascii="Arial" w:hAnsi="Arial" w:cs="Arial"/>
      <w:i/>
      <w:iCs/>
      <w:color w:val="FF0000"/>
    </w:rPr>
  </w:style>
  <w:style w:type="character" w:styleId="WWFontepargpadro1">
    <w:name w:val="WW-Fonte parág. padrão1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797a07"/>
    <w:pPr>
      <w:spacing w:lineRule="auto" w:line="276" w:before="0" w:after="140"/>
    </w:pPr>
    <w:rPr/>
  </w:style>
  <w:style w:type="paragraph" w:styleId="Lista">
    <w:name w:val="List"/>
    <w:basedOn w:val="Corpodotexto"/>
    <w:rsid w:val="00797a07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797a07"/>
    <w:pPr>
      <w:suppressLineNumbers/>
    </w:pPr>
    <w:rPr>
      <w:rFonts w:cs="Arial"/>
    </w:rPr>
  </w:style>
  <w:style w:type="paragraph" w:styleId="Caption" w:customStyle="1">
    <w:name w:val="caption"/>
    <w:basedOn w:val="Normal"/>
    <w:qFormat/>
    <w:rsid w:val="00797a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tulododocumento">
    <w:name w:val="Title"/>
    <w:basedOn w:val="Normal"/>
    <w:next w:val="Corpodotexto"/>
    <w:qFormat/>
    <w:rsid w:val="00797a07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istParagraph">
    <w:name w:val="List Paragraph"/>
    <w:basedOn w:val="Normal"/>
    <w:uiPriority w:val="34"/>
    <w:qFormat/>
    <w:rsid w:val="009b32a8"/>
    <w:pPr>
      <w:spacing w:before="0" w:after="160"/>
      <w:ind w:left="720" w:hanging="0"/>
      <w:contextualSpacing/>
    </w:pPr>
    <w:rPr/>
  </w:style>
  <w:style w:type="paragraph" w:styleId="CabealhoeRodap" w:customStyle="1">
    <w:name w:val="Cabeçalho e Rodapé"/>
    <w:basedOn w:val="Normal"/>
    <w:qFormat/>
    <w:rsid w:val="00797a07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Cabealhoerodap14">
    <w:name w:val="Cabeçalho e rodapé14"/>
    <w:basedOn w:val="Normal"/>
    <w:qFormat/>
    <w:pPr/>
    <w:rPr/>
  </w:style>
  <w:style w:type="paragraph" w:styleId="Cabealhoerodap15">
    <w:name w:val="Cabeçalho e rodapé15"/>
    <w:basedOn w:val="Normal"/>
    <w:qFormat/>
    <w:pPr/>
    <w:rPr/>
  </w:style>
  <w:style w:type="paragraph" w:styleId="Cabealho" w:customStyle="1">
    <w:name w:val="Header"/>
    <w:basedOn w:val="Normal"/>
    <w:link w:val="CabealhoChar"/>
    <w:uiPriority w:val="99"/>
    <w:unhideWhenUsed/>
    <w:rsid w:val="00397ef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 w:customStyle="1">
    <w:name w:val="Footer"/>
    <w:basedOn w:val="Normal"/>
    <w:link w:val="RodapChar"/>
    <w:uiPriority w:val="99"/>
    <w:unhideWhenUsed/>
    <w:rsid w:val="00397ef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GradeColoridanfase11" w:customStyle="1">
    <w:name w:val="Grade Colorida - Ênfase 11"/>
    <w:basedOn w:val="Normal"/>
    <w:next w:val="Normal"/>
    <w:uiPriority w:val="29"/>
    <w:qFormat/>
    <w:rsid w:val="00d96ec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Arial" w:hAnsi="Arial" w:eastAsia="Calibri" w:cs="Times New Roman"/>
      <w:i/>
      <w:iCs/>
      <w:color w:val="000000"/>
      <w:sz w:val="20"/>
      <w:szCs w:val="24"/>
    </w:rPr>
  </w:style>
  <w:style w:type="paragraph" w:styleId="Nivel01Titulo" w:customStyle="1">
    <w:name w:val="Nivel_01_Titulo"/>
    <w:basedOn w:val="Ttulo1"/>
    <w:next w:val="Normal"/>
    <w:link w:val="Nivel01TituloChar"/>
    <w:qFormat/>
    <w:rsid w:val="00d96ec9"/>
    <w:pPr>
      <w:tabs>
        <w:tab w:val="clear" w:pos="708"/>
        <w:tab w:val="left" w:pos="567" w:leader="none"/>
      </w:tabs>
      <w:spacing w:lineRule="auto" w:line="24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paragraph" w:styleId="Nivel1" w:customStyle="1">
    <w:name w:val="Nivel1"/>
    <w:basedOn w:val="Ttulo1"/>
    <w:next w:val="Normal"/>
    <w:link w:val="Nivel1Char"/>
    <w:qFormat/>
    <w:rsid w:val="00bd3081"/>
    <w:pPr>
      <w:spacing w:lineRule="auto" w:line="276" w:before="480" w:after="120"/>
      <w:jc w:val="both"/>
    </w:pPr>
    <w:rPr>
      <w:rFonts w:ascii="Arial" w:hAnsi="Arial" w:cs="Arial"/>
      <w:b/>
      <w:color w:val="000000" w:themeColor="accent1" w:themeShade="bf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6e7af1"/>
    <w:pPr>
      <w:spacing w:lineRule="auto" w:line="240"/>
    </w:pPr>
    <w:rPr>
      <w:sz w:val="20"/>
      <w:szCs w:val="20"/>
    </w:rPr>
  </w:style>
  <w:style w:type="paragraph" w:styleId="Quote">
    <w:name w:val="Quote"/>
    <w:basedOn w:val="Normal"/>
    <w:link w:val="CitaoChar"/>
    <w:qFormat/>
    <w:rsid w:val="006e7af1"/>
    <w:pPr>
      <w:keepNext w:val="true"/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tabs>
        <w:tab w:val="left" w:pos="708" w:leader="none"/>
      </w:tabs>
      <w:suppressAutoHyphens w:val="true"/>
      <w:spacing w:lineRule="auto" w:line="240"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</w:rPr>
  </w:style>
  <w:style w:type="paragraph" w:styleId="Citao2" w:customStyle="1">
    <w:name w:val="citação 2"/>
    <w:basedOn w:val="Quote"/>
    <w:qFormat/>
    <w:rsid w:val="00791789"/>
    <w:pPr>
      <w:keepNext w:val="false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tabs>
        <w:tab w:val="clear" w:pos="708"/>
      </w:tabs>
      <w:suppressAutoHyphens w:val="false"/>
      <w:overflowPunct w:val="true"/>
    </w:pPr>
    <w:rPr>
      <w:rFonts w:ascii="Arial" w:hAnsi="Arial"/>
      <w:szCs w:val="20"/>
    </w:rPr>
  </w:style>
  <w:style w:type="paragraph" w:styleId="PargrafodaLista1" w:customStyle="1">
    <w:name w:val="Parágrafo da Lista1"/>
    <w:basedOn w:val="Normal"/>
    <w:qFormat/>
    <w:rsid w:val="00192fa4"/>
    <w:pPr>
      <w:spacing w:lineRule="auto" w:line="240" w:before="0" w:after="0"/>
      <w:ind w:left="720" w:hanging="0"/>
    </w:pPr>
    <w:rPr>
      <w:rFonts w:ascii="Ecofont_Spranq_eco_Sans" w:hAnsi="Ecofont_Spranq_eco_Sans" w:eastAsia="Times New Roman" w:cs="Ecofont_Spranq_eco_Sans"/>
      <w:sz w:val="24"/>
      <w:szCs w:val="24"/>
      <w:lang w:eastAsia="pt-BR"/>
    </w:rPr>
  </w:style>
  <w:style w:type="paragraph" w:styleId="Nivel2" w:customStyle="1">
    <w:name w:val="Nivel 2"/>
    <w:link w:val="Nivel2Char"/>
    <w:qFormat/>
    <w:rsid w:val="00192fa4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2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192fa4"/>
    <w:pPr>
      <w:tabs>
        <w:tab w:val="clear" w:pos="708"/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192fa4"/>
    <w:pPr>
      <w:tabs>
        <w:tab w:val="clear" w:pos="708"/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192fa4"/>
    <w:pPr>
      <w:ind w:left="2491" w:hanging="0"/>
    </w:pPr>
    <w:rPr>
      <w:color w:val="auto"/>
    </w:rPr>
  </w:style>
  <w:style w:type="paragraph" w:styleId="Nivel5" w:customStyle="1">
    <w:name w:val="Nivel 5"/>
    <w:basedOn w:val="Nivel4"/>
    <w:qFormat/>
    <w:rsid w:val="00192fa4"/>
    <w:pPr>
      <w:ind w:left="3485" w:hanging="0"/>
    </w:pPr>
    <w:rPr/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fc5048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d1c8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ombreamentoMdio1nfase31" w:customStyle="1">
    <w:name w:val="Sombreamento Médio 1 - Ênfase 31"/>
    <w:basedOn w:val="Normal"/>
    <w:next w:val="Normal"/>
    <w:qFormat/>
    <w:rsid w:val="00921e4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lineRule="auto" w:line="240"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zh-CN"/>
    </w:rPr>
  </w:style>
  <w:style w:type="paragraph" w:styleId="Nvel2Opcional" w:customStyle="1">
    <w:name w:val="Nível 2 Opcional"/>
    <w:basedOn w:val="Nivel2"/>
    <w:link w:val="Nvel2OpcionalChar"/>
    <w:qFormat/>
    <w:rsid w:val="00921e42"/>
    <w:pPr>
      <w:ind w:left="716" w:hanging="432"/>
    </w:pPr>
    <w:rPr>
      <w:rFonts w:ascii="Arial" w:hAnsi="Arial" w:eastAsia="Calibri" w:cs="Arial" w:eastAsiaTheme="minorHAnsi"/>
      <w:i/>
      <w:color w:val="FF0000"/>
      <w:sz w:val="22"/>
      <w:szCs w:val="22"/>
      <w:lang w:eastAsia="en-US"/>
    </w:rPr>
  </w:style>
  <w:style w:type="paragraph" w:styleId="Nvel3Opcional" w:customStyle="1">
    <w:name w:val="Nível 3 Opcional"/>
    <w:basedOn w:val="Nivel3"/>
    <w:link w:val="Nvel3OpcionalChar"/>
    <w:qFormat/>
    <w:rsid w:val="00921e42"/>
    <w:pPr>
      <w:ind w:left="567" w:hanging="0"/>
    </w:pPr>
    <w:rPr>
      <w:rFonts w:ascii="Arial" w:hAnsi="Arial" w:eastAsia="Calibri" w:eastAsiaTheme="minorHAnsi"/>
      <w:i/>
      <w:iCs/>
      <w:color w:val="FF0000"/>
      <w:sz w:val="22"/>
      <w:szCs w:val="22"/>
      <w:lang w:eastAsia="en-US"/>
    </w:rPr>
  </w:style>
  <w:style w:type="paragraph" w:styleId="Revision">
    <w:name w:val="Revision"/>
    <w:uiPriority w:val="99"/>
    <w:semiHidden/>
    <w:qFormat/>
    <w:rsid w:val="00d031db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Normal1" w:customStyle="1">
    <w:name w:val="[Normal]"/>
    <w:next w:val="CabealhoeRodap"/>
    <w:qFormat/>
    <w:rsid w:val="00797a07"/>
    <w:pPr>
      <w:widowControl w:val="false"/>
      <w:suppressAutoHyphens w:val="true"/>
      <w:bidi w:val="0"/>
      <w:spacing w:lineRule="auto" w:line="259" w:before="0" w:after="160"/>
      <w:jc w:val="left"/>
    </w:pPr>
    <w:rPr>
      <w:rFonts w:ascii="Arial" w:hAnsi="Arial" w:eastAsia="Arial" w:cs="Arial"/>
      <w:color w:val="000000"/>
      <w:kern w:val="0"/>
      <w:sz w:val="24"/>
      <w:szCs w:val="20"/>
      <w:lang w:val="pt-BR" w:eastAsia="en-US" w:bidi="ar-SA"/>
    </w:rPr>
  </w:style>
  <w:style w:type="paragraph" w:styleId="Contedodatabela">
    <w:name w:val="Conteúdo da tabela"/>
    <w:basedOn w:val="Normal"/>
    <w:qFormat/>
    <w:pPr/>
    <w:rPr/>
  </w:style>
  <w:style w:type="paragraph" w:styleId="Corpodetexto1">
    <w:name w:val="Corpo de texto1"/>
    <w:basedOn w:val="Normal"/>
    <w:qFormat/>
    <w:pPr>
      <w:widowControl/>
      <w:spacing w:lineRule="atLeast" w:line="100" w:before="0" w:after="120"/>
    </w:pPr>
    <w:rPr>
      <w:rFonts w:ascii="Times New Roman" w:hAnsi="Times New Roman" w:eastAsia="Times New Roman" w:cs="Times New Roman"/>
      <w:color w:val="00000A"/>
      <w:sz w:val="24"/>
      <w:szCs w:val="24"/>
      <w:lang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rpodotextorecuado">
    <w:name w:val="Body Text Indent"/>
    <w:basedOn w:val="Normal"/>
    <w:qFormat/>
    <w:pPr>
      <w:spacing w:before="0" w:after="120"/>
      <w:ind w:left="283" w:right="0" w:hanging="0"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9b32a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2F6229-F8D2-402A-AFAD-1FB257056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587B08-AF6B-4E57-8DCB-DB2F9D7D4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49C7B-D91D-4C74-8E00-0AB362F35E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Application>LibreOffice/6.4.7.2$Windows_X86_64 LibreOffice_project/639b8ac485750d5696d7590a72ef1b496725cfb5</Application>
  <Pages>10</Pages>
  <Words>3722</Words>
  <Characters>21497</Characters>
  <CharactersWithSpaces>25104</CharactersWithSpaces>
  <Paragraphs>190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2022-07-14T22:11:00Z</dcterms:created>
  <dc:creator>Hugo Sales</dc:creator>
  <dc:description/>
  <dc:language>pt-BR</dc:language>
  <cp:lastModifiedBy/>
  <cp:lastPrinted>2026-07-27T11:13:14Z</cp:lastPrinted>
  <dcterms:modified xsi:type="dcterms:W3CDTF">2026-07-27T11:13:02Z</dcterms:modified>
  <cp:revision>139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0x01010012A2765E7DFD38469B2E626874CD0041</vt:lpwstr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